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pPr>
      <w:r>
        <w:rPr>
          <w:rFonts w:hint="eastAsia"/>
        </w:rPr>
        <w:t>2024年黑龙江省职业教育春季高考播音与主持专业技能操作考试大纲</w:t>
      </w:r>
    </w:p>
    <w:p>
      <w:pPr>
        <w:pStyle w:val="3"/>
        <w:spacing w:before="156" w:after="156" w:line="240" w:lineRule="auto"/>
        <w:ind w:firstLine="482"/>
        <w:jc w:val="both"/>
        <w:rPr>
          <w:rFonts w:hint="default"/>
        </w:rPr>
      </w:pPr>
      <w:r>
        <w:t>一、考试依据</w:t>
      </w:r>
    </w:p>
    <w:p>
      <w:pPr>
        <w:ind w:firstLine="480"/>
        <w:rPr>
          <w:szCs w:val="32"/>
        </w:rPr>
      </w:pPr>
      <w:r>
        <w:rPr>
          <w:rFonts w:hint="eastAsia"/>
          <w:szCs w:val="32"/>
        </w:rPr>
        <w:t>1.参照中华人民共和国教育部职业教育与成人教育司颁布的《中等职业学校专业教学标准（试行）》，2017年8月26日发布。</w:t>
      </w:r>
    </w:p>
    <w:p>
      <w:pPr>
        <w:ind w:firstLine="480"/>
        <w:rPr>
          <w:szCs w:val="32"/>
        </w:rPr>
      </w:pPr>
      <w:r>
        <w:rPr>
          <w:rFonts w:hint="eastAsia"/>
          <w:szCs w:val="32"/>
        </w:rPr>
        <w:t>2.参照中华人民共和国教育部职业教育与成人教育司颁布的《职业教育专业目录（2021年修订）》；职业教育专业简介（2022年修订）。</w:t>
      </w:r>
    </w:p>
    <w:p>
      <w:pPr>
        <w:ind w:firstLine="480"/>
        <w:rPr>
          <w:szCs w:val="32"/>
        </w:rPr>
      </w:pPr>
      <w:r>
        <w:rPr>
          <w:rFonts w:hint="eastAsia"/>
          <w:szCs w:val="32"/>
        </w:rPr>
        <w:t>3.参照《中华人民共和国职业分类大典（2022年版）》《国家职业技能标准（2019 年修订）》（职业编码：播音员2-10-04-01、节目主持人</w:t>
      </w:r>
      <w:r>
        <w:rPr>
          <w:szCs w:val="32"/>
        </w:rPr>
        <w:t>2-10-04-02</w:t>
      </w:r>
      <w:r>
        <w:rPr>
          <w:rFonts w:hint="eastAsia"/>
          <w:szCs w:val="32"/>
        </w:rPr>
        <w:t>）中的相关职业技能初、中级标准。</w:t>
      </w:r>
    </w:p>
    <w:p>
      <w:pPr>
        <w:ind w:firstLine="480"/>
        <w:rPr>
          <w:szCs w:val="32"/>
        </w:rPr>
      </w:pPr>
      <w:r>
        <w:rPr>
          <w:rFonts w:hint="eastAsia"/>
          <w:szCs w:val="32"/>
        </w:rPr>
        <w:t>4.参照播音与主持专业相关职业资格证书或职业技能等级证书标准。</w:t>
      </w:r>
    </w:p>
    <w:p>
      <w:pPr>
        <w:ind w:firstLine="480"/>
        <w:rPr>
          <w:szCs w:val="32"/>
        </w:rPr>
      </w:pPr>
      <w:r>
        <w:rPr>
          <w:rFonts w:hint="eastAsia"/>
          <w:szCs w:val="32"/>
        </w:rPr>
        <w:t>5.播音与主持专业对口涵盖专业范围，如表1所示。</w:t>
      </w:r>
    </w:p>
    <w:p>
      <w:pPr>
        <w:spacing w:beforeLines="50" w:afterLines="50"/>
        <w:ind w:firstLine="0" w:firstLineChars="0"/>
        <w:jc w:val="center"/>
        <w:rPr>
          <w:sz w:val="21"/>
          <w:szCs w:val="21"/>
        </w:rPr>
      </w:pPr>
      <w:r>
        <w:rPr>
          <w:rFonts w:hint="eastAsia" w:ascii="黑体" w:hAnsi="黑体" w:eastAsia="黑体"/>
          <w:sz w:val="21"/>
          <w:szCs w:val="21"/>
        </w:rPr>
        <w:t>表1  播音与主持专业对口涵盖专业范围</w:t>
      </w:r>
    </w:p>
    <w:tbl>
      <w:tblPr>
        <w:tblStyle w:val="9"/>
        <w:tblW w:w="0" w:type="auto"/>
        <w:jc w:val="cente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autofit"/>
        <w:tblCellMar>
          <w:top w:w="0" w:type="dxa"/>
          <w:left w:w="108" w:type="dxa"/>
          <w:bottom w:w="0" w:type="dxa"/>
          <w:right w:w="108" w:type="dxa"/>
        </w:tblCellMar>
      </w:tblPr>
      <w:tblGrid>
        <w:gridCol w:w="2840"/>
        <w:gridCol w:w="2841"/>
        <w:gridCol w:w="2841"/>
      </w:tblGrid>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jc w:val="center"/>
        </w:trPr>
        <w:tc>
          <w:tcPr>
            <w:tcW w:w="2840" w:type="dxa"/>
            <w:vAlign w:val="center"/>
          </w:tcPr>
          <w:p>
            <w:pPr>
              <w:widowControl/>
              <w:ind w:firstLine="0" w:firstLineChars="0"/>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中等职业教育相关专业</w:t>
            </w:r>
          </w:p>
        </w:tc>
        <w:tc>
          <w:tcPr>
            <w:tcW w:w="2841" w:type="dxa"/>
            <w:vAlign w:val="center"/>
          </w:tcPr>
          <w:p>
            <w:pPr>
              <w:widowControl/>
              <w:ind w:firstLine="0" w:firstLineChars="0"/>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接续高职专科相关专业</w:t>
            </w:r>
          </w:p>
        </w:tc>
        <w:tc>
          <w:tcPr>
            <w:tcW w:w="2841" w:type="dxa"/>
            <w:vAlign w:val="center"/>
          </w:tcPr>
          <w:p>
            <w:pPr>
              <w:widowControl/>
              <w:ind w:firstLine="0" w:firstLineChars="0"/>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接续高职本科专业</w:t>
            </w:r>
          </w:p>
          <w:p>
            <w:pPr>
              <w:widowControl/>
              <w:ind w:firstLine="0" w:firstLineChars="0"/>
              <w:jc w:val="center"/>
              <w:rPr>
                <w:rFonts w:ascii="宋体" w:hAnsi="宋体" w:eastAsia="宋体" w:cs="宋体"/>
                <w:b/>
                <w:bCs/>
                <w:color w:val="000000"/>
                <w:kern w:val="0"/>
                <w:sz w:val="21"/>
                <w:szCs w:val="21"/>
              </w:rPr>
            </w:pPr>
            <w:r>
              <w:rPr>
                <w:rFonts w:hint="eastAsia" w:ascii="宋体" w:hAnsi="宋体" w:eastAsia="宋体" w:cs="宋体"/>
                <w:b/>
                <w:bCs/>
                <w:color w:val="000000"/>
                <w:kern w:val="0"/>
                <w:sz w:val="21"/>
                <w:szCs w:val="21"/>
              </w:rPr>
              <w:t>接续普通本科专业</w:t>
            </w:r>
          </w:p>
        </w:tc>
      </w:tr>
      <w:tr>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1134" w:hRule="exact"/>
          <w:jc w:val="center"/>
        </w:trPr>
        <w:tc>
          <w:tcPr>
            <w:tcW w:w="2840" w:type="dxa"/>
            <w:vAlign w:val="center"/>
          </w:tcPr>
          <w:p>
            <w:pPr>
              <w:widowControl/>
              <w:ind w:firstLine="0" w:firstLineChars="0"/>
              <w:rPr>
                <w:rFonts w:ascii="宋体" w:hAnsi="宋体" w:eastAsia="宋体" w:cs="微软雅黑"/>
                <w:sz w:val="21"/>
                <w:szCs w:val="21"/>
              </w:rPr>
            </w:pPr>
            <w:r>
              <w:rPr>
                <w:rFonts w:hint="eastAsia" w:ascii="宋体" w:hAnsi="宋体" w:eastAsia="宋体" w:cs="宋体"/>
                <w:color w:val="000000"/>
                <w:kern w:val="0"/>
                <w:sz w:val="21"/>
                <w:szCs w:val="21"/>
              </w:rPr>
              <w:t xml:space="preserve">播音与主持 </w:t>
            </w:r>
            <w:r>
              <w:rPr>
                <w:rFonts w:ascii="宋体" w:hAnsi="宋体" w:eastAsia="宋体" w:cs="宋体"/>
                <w:color w:val="000000"/>
                <w:kern w:val="0"/>
                <w:sz w:val="21"/>
                <w:szCs w:val="21"/>
              </w:rPr>
              <w:t>760201</w:t>
            </w:r>
          </w:p>
        </w:tc>
        <w:tc>
          <w:tcPr>
            <w:tcW w:w="2841" w:type="dxa"/>
            <w:vAlign w:val="center"/>
          </w:tcPr>
          <w:p>
            <w:pPr>
              <w:widowControl/>
              <w:ind w:firstLine="0" w:firstLineChars="0"/>
              <w:rPr>
                <w:rFonts w:ascii="宋体" w:hAnsi="宋体" w:eastAsia="宋体" w:cs="微软雅黑"/>
                <w:sz w:val="21"/>
                <w:szCs w:val="21"/>
              </w:rPr>
            </w:pPr>
            <w:r>
              <w:rPr>
                <w:rFonts w:hint="eastAsia" w:ascii="宋体" w:hAnsi="宋体" w:eastAsia="宋体" w:cs="微软雅黑"/>
                <w:sz w:val="21"/>
                <w:szCs w:val="21"/>
              </w:rPr>
              <w:t>播音与主持 560201</w:t>
            </w:r>
          </w:p>
        </w:tc>
        <w:tc>
          <w:tcPr>
            <w:tcW w:w="2841" w:type="dxa"/>
            <w:vAlign w:val="center"/>
          </w:tcPr>
          <w:p>
            <w:pPr>
              <w:widowControl/>
              <w:ind w:firstLine="0" w:firstLineChars="0"/>
              <w:rPr>
                <w:rFonts w:ascii="宋体" w:hAnsi="宋体" w:eastAsia="宋体" w:cs="微软雅黑"/>
                <w:sz w:val="21"/>
                <w:szCs w:val="21"/>
              </w:rPr>
            </w:pPr>
            <w:r>
              <w:rPr>
                <w:rFonts w:hint="eastAsia" w:ascii="宋体" w:hAnsi="宋体" w:eastAsia="宋体" w:cs="微软雅黑"/>
                <w:sz w:val="21"/>
                <w:szCs w:val="21"/>
              </w:rPr>
              <w:t xml:space="preserve">播音与主持 </w:t>
            </w:r>
            <w:r>
              <w:rPr>
                <w:rFonts w:ascii="宋体" w:hAnsi="宋体" w:eastAsia="宋体" w:cs="微软雅黑"/>
                <w:sz w:val="21"/>
                <w:szCs w:val="21"/>
              </w:rPr>
              <w:t>360201</w:t>
            </w:r>
          </w:p>
          <w:p>
            <w:pPr>
              <w:widowControl/>
              <w:ind w:firstLine="0" w:firstLineChars="0"/>
              <w:rPr>
                <w:rFonts w:ascii="宋体" w:hAnsi="宋体" w:eastAsia="宋体" w:cs="微软雅黑"/>
                <w:sz w:val="21"/>
                <w:szCs w:val="21"/>
              </w:rPr>
            </w:pPr>
            <w:r>
              <w:rPr>
                <w:rFonts w:hint="eastAsia" w:ascii="宋体" w:hAnsi="宋体" w:eastAsia="宋体" w:cs="微软雅黑"/>
                <w:sz w:val="21"/>
                <w:szCs w:val="21"/>
              </w:rPr>
              <w:t>播音与主持艺术</w:t>
            </w:r>
            <w:r>
              <w:rPr>
                <w:rFonts w:ascii="宋体" w:hAnsi="宋体" w:eastAsia="宋体" w:cs="微软雅黑"/>
                <w:sz w:val="21"/>
                <w:szCs w:val="21"/>
              </w:rPr>
              <w:t>130309</w:t>
            </w:r>
          </w:p>
        </w:tc>
      </w:tr>
    </w:tbl>
    <w:p>
      <w:pPr>
        <w:pStyle w:val="3"/>
        <w:spacing w:before="156" w:after="156"/>
        <w:ind w:firstLine="482"/>
        <w:rPr>
          <w:rFonts w:hint="default"/>
        </w:rPr>
      </w:pPr>
      <w:r>
        <w:t>二、考试方式</w:t>
      </w:r>
    </w:p>
    <w:p>
      <w:pPr>
        <w:ind w:firstLine="480"/>
        <w:rPr>
          <w:szCs w:val="32"/>
        </w:rPr>
      </w:pPr>
      <w:r>
        <w:rPr>
          <w:rFonts w:hint="eastAsia"/>
        </w:rPr>
        <w:t>2024年黑龙江省职业教育春季高考</w:t>
      </w:r>
      <w:r>
        <w:rPr>
          <w:rFonts w:hint="eastAsia"/>
          <w:szCs w:val="32"/>
        </w:rPr>
        <w:t>播音与主持专业</w:t>
      </w:r>
      <w:r>
        <w:rPr>
          <w:rFonts w:hint="eastAsia"/>
        </w:rPr>
        <w:t>技能考试</w:t>
      </w:r>
      <w:r>
        <w:rPr>
          <w:rFonts w:hint="eastAsia"/>
          <w:szCs w:val="32"/>
        </w:rPr>
        <w:t>采取实操方式进行，考试分为播音、主持两个类别，考生自选其中一类进行考试，考试总分为200分。</w:t>
      </w:r>
    </w:p>
    <w:p>
      <w:pPr>
        <w:ind w:firstLine="482"/>
        <w:rPr>
          <w:szCs w:val="32"/>
        </w:rPr>
      </w:pPr>
      <w:r>
        <w:rPr>
          <w:rFonts w:hint="eastAsia"/>
          <w:b/>
          <w:bCs/>
          <w:szCs w:val="32"/>
        </w:rPr>
        <w:t>播音类方向考试</w:t>
      </w:r>
      <w:r>
        <w:rPr>
          <w:rFonts w:hint="eastAsia"/>
          <w:szCs w:val="32"/>
        </w:rPr>
        <w:t>分为指定稿件、即兴评述两个模块，指定稿件为现场指定稿件，即兴评述为现场随机抽取，考试时间为15分钟；</w:t>
      </w:r>
      <w:r>
        <w:rPr>
          <w:rFonts w:hint="eastAsia"/>
          <w:b/>
          <w:bCs/>
          <w:szCs w:val="32"/>
        </w:rPr>
        <w:t>主持类方向考试</w:t>
      </w:r>
      <w:r>
        <w:rPr>
          <w:rFonts w:hint="eastAsia"/>
          <w:szCs w:val="32"/>
        </w:rPr>
        <w:t>分为现场报道、模拟主持两个模块，现场报道为现场随机抽取，模拟主持为指定题目进行考试，考试时间为15分钟。</w:t>
      </w:r>
    </w:p>
    <w:p>
      <w:pPr>
        <w:spacing w:beforeLines="50" w:afterLines="50"/>
        <w:ind w:firstLine="482"/>
        <w:rPr>
          <w:b/>
          <w:szCs w:val="32"/>
        </w:rPr>
      </w:pPr>
      <w:r>
        <w:rPr>
          <w:rFonts w:hint="eastAsia"/>
          <w:b/>
          <w:szCs w:val="32"/>
        </w:rPr>
        <w:t>三、考试范围和要求</w:t>
      </w:r>
    </w:p>
    <w:p>
      <w:pPr>
        <w:ind w:firstLine="480"/>
        <w:rPr>
          <w:szCs w:val="32"/>
        </w:rPr>
      </w:pPr>
      <w:r>
        <w:rPr>
          <w:rFonts w:hint="eastAsia"/>
          <w:szCs w:val="32"/>
        </w:rPr>
        <w:t>以中等职业教育毕业生从业能力为立足点，实现艺术专业考试内容与中职毕业生从业技能的需要相互兼容，在识记、理解、应用、综合运用各个层面，充分融合专业知识和实际应用的职业技能要素，将专业知识融入专业技能考试内容。</w:t>
      </w:r>
    </w:p>
    <w:p>
      <w:pPr>
        <w:pStyle w:val="4"/>
        <w:ind w:firstLine="482"/>
        <w:rPr>
          <w:rFonts w:hint="eastAsia"/>
          <w:b/>
          <w:bCs/>
          <w:szCs w:val="32"/>
        </w:rPr>
      </w:pPr>
    </w:p>
    <w:p>
      <w:pPr>
        <w:pStyle w:val="4"/>
        <w:ind w:firstLine="482"/>
        <w:rPr>
          <w:szCs w:val="32"/>
        </w:rPr>
      </w:pPr>
      <w:r>
        <w:rPr>
          <w:rFonts w:hint="eastAsia"/>
          <w:b/>
          <w:bCs/>
          <w:szCs w:val="32"/>
        </w:rPr>
        <w:t>技能模块1  播音的技能与技巧</w:t>
      </w:r>
    </w:p>
    <w:p>
      <w:pPr>
        <w:tabs>
          <w:tab w:val="left" w:pos="312"/>
        </w:tabs>
        <w:ind w:left="480" w:firstLine="0" w:firstLineChars="0"/>
        <w:rPr>
          <w:szCs w:val="32"/>
        </w:rPr>
      </w:pPr>
      <w:r>
        <w:rPr>
          <w:rFonts w:hint="eastAsia"/>
          <w:szCs w:val="32"/>
        </w:rPr>
        <w:t>1.知识与技能</w:t>
      </w:r>
    </w:p>
    <w:p>
      <w:pPr>
        <w:ind w:firstLine="480" w:firstLineChars="0"/>
        <w:rPr>
          <w:szCs w:val="32"/>
        </w:rPr>
      </w:pPr>
      <w:r>
        <w:rPr>
          <w:rFonts w:hint="eastAsia"/>
          <w:szCs w:val="32"/>
        </w:rPr>
        <w:t>（1）普通话标准。</w:t>
      </w:r>
    </w:p>
    <w:p>
      <w:pPr>
        <w:ind w:firstLine="480" w:firstLineChars="0"/>
        <w:rPr>
          <w:szCs w:val="32"/>
        </w:rPr>
      </w:pPr>
      <w:r>
        <w:rPr>
          <w:rFonts w:hint="eastAsia"/>
          <w:szCs w:val="32"/>
        </w:rPr>
        <w:t>（2）吐字发音应准确规范，做到“字正腔圆”。</w:t>
      </w:r>
    </w:p>
    <w:p>
      <w:pPr>
        <w:ind w:firstLine="480" w:firstLineChars="0"/>
        <w:rPr>
          <w:szCs w:val="32"/>
        </w:rPr>
      </w:pPr>
      <w:r>
        <w:rPr>
          <w:rFonts w:hint="eastAsia"/>
          <w:szCs w:val="32"/>
        </w:rPr>
        <w:t>（3）会用气息，正确使用发音部位</w:t>
      </w:r>
    </w:p>
    <w:p>
      <w:pPr>
        <w:ind w:firstLine="480" w:firstLineChars="0"/>
        <w:rPr>
          <w:szCs w:val="32"/>
        </w:rPr>
      </w:pPr>
      <w:r>
        <w:rPr>
          <w:rFonts w:hint="eastAsia"/>
          <w:szCs w:val="32"/>
        </w:rPr>
        <w:t>（4）声音洪亮，表意清晰。</w:t>
      </w:r>
    </w:p>
    <w:p>
      <w:pPr>
        <w:tabs>
          <w:tab w:val="left" w:pos="312"/>
        </w:tabs>
        <w:ind w:left="480" w:firstLine="0" w:firstLineChars="0"/>
        <w:rPr>
          <w:szCs w:val="32"/>
        </w:rPr>
      </w:pPr>
      <w:r>
        <w:rPr>
          <w:rFonts w:hint="eastAsia"/>
          <w:szCs w:val="32"/>
        </w:rPr>
        <w:t>2.设备与材料</w:t>
      </w:r>
    </w:p>
    <w:p>
      <w:pPr>
        <w:ind w:firstLine="720" w:firstLineChars="300"/>
        <w:rPr>
          <w:szCs w:val="32"/>
        </w:rPr>
      </w:pPr>
      <w:r>
        <w:rPr>
          <w:rFonts w:hint="eastAsia"/>
          <w:szCs w:val="32"/>
        </w:rPr>
        <w:t>无需设备材料。</w:t>
      </w:r>
    </w:p>
    <w:p>
      <w:pPr>
        <w:shd w:val="clear" w:color="auto" w:fill="FFFFFF" w:themeFill="background1"/>
        <w:tabs>
          <w:tab w:val="left" w:pos="312"/>
        </w:tabs>
        <w:ind w:left="480" w:firstLine="0" w:firstLineChars="0"/>
        <w:rPr>
          <w:szCs w:val="32"/>
        </w:rPr>
      </w:pPr>
      <w:r>
        <w:rPr>
          <w:rFonts w:hint="eastAsia"/>
          <w:szCs w:val="32"/>
        </w:rPr>
        <w:t>3.操作规范要求</w:t>
      </w:r>
    </w:p>
    <w:p>
      <w:pPr>
        <w:shd w:val="clear" w:color="auto" w:fill="FFFFFF" w:themeFill="background1"/>
        <w:ind w:firstLine="480"/>
        <w:rPr>
          <w:szCs w:val="32"/>
        </w:rPr>
      </w:pPr>
      <w:r>
        <w:rPr>
          <w:rFonts w:hint="eastAsia"/>
          <w:szCs w:val="32"/>
        </w:rPr>
        <w:t xml:space="preserve">（1）要求准备时间过后开始朗读。 </w:t>
      </w:r>
    </w:p>
    <w:p>
      <w:pPr>
        <w:shd w:val="clear" w:color="auto" w:fill="FFFFFF" w:themeFill="background1"/>
        <w:ind w:firstLine="480"/>
        <w:rPr>
          <w:szCs w:val="32"/>
        </w:rPr>
      </w:pPr>
      <w:r>
        <w:rPr>
          <w:rFonts w:hint="eastAsia"/>
          <w:szCs w:val="32"/>
        </w:rPr>
        <w:t xml:space="preserve">（2）规范发音练习，正确运用发音部位 </w:t>
      </w:r>
    </w:p>
    <w:p>
      <w:pPr>
        <w:shd w:val="clear" w:color="auto" w:fill="FFFFFF" w:themeFill="background1"/>
        <w:ind w:firstLine="480"/>
        <w:rPr>
          <w:szCs w:val="32"/>
        </w:rPr>
      </w:pPr>
      <w:r>
        <w:rPr>
          <w:rFonts w:hint="eastAsia"/>
          <w:szCs w:val="32"/>
        </w:rPr>
        <w:t>（3）根据所提供专业资料，规范语音状态及语言掌握能力。</w:t>
      </w:r>
    </w:p>
    <w:p>
      <w:pPr>
        <w:shd w:val="clear" w:color="auto" w:fill="FFFFFF" w:themeFill="background1"/>
        <w:ind w:firstLine="480"/>
        <w:rPr>
          <w:szCs w:val="32"/>
        </w:rPr>
      </w:pPr>
      <w:r>
        <w:rPr>
          <w:rFonts w:hint="eastAsia"/>
          <w:szCs w:val="32"/>
        </w:rPr>
        <w:t>（4）朗读流畅自然、重音准确、节奏稳定。</w:t>
      </w:r>
    </w:p>
    <w:p>
      <w:pPr>
        <w:shd w:val="clear" w:color="auto" w:fill="FFFFFF" w:themeFill="background1"/>
        <w:ind w:firstLine="480"/>
        <w:rPr>
          <w:szCs w:val="32"/>
        </w:rPr>
      </w:pPr>
      <w:r>
        <w:rPr>
          <w:rFonts w:hint="eastAsia"/>
          <w:szCs w:val="32"/>
        </w:rPr>
        <w:t>（5）指定稿件完成时间控制在5分钟之内 。</w:t>
      </w:r>
    </w:p>
    <w:p>
      <w:pPr>
        <w:tabs>
          <w:tab w:val="left" w:pos="312"/>
        </w:tabs>
        <w:ind w:firstLine="0" w:firstLineChars="0"/>
        <w:rPr>
          <w:szCs w:val="32"/>
        </w:rPr>
      </w:pPr>
    </w:p>
    <w:p>
      <w:pPr>
        <w:pStyle w:val="4"/>
        <w:ind w:firstLine="482"/>
        <w:rPr>
          <w:szCs w:val="32"/>
        </w:rPr>
      </w:pPr>
      <w:r>
        <w:rPr>
          <w:rFonts w:hint="eastAsia"/>
          <w:b/>
          <w:bCs/>
          <w:szCs w:val="32"/>
        </w:rPr>
        <w:t>技能模块2  即兴评述</w:t>
      </w:r>
    </w:p>
    <w:p>
      <w:pPr>
        <w:tabs>
          <w:tab w:val="left" w:pos="312"/>
        </w:tabs>
        <w:ind w:left="480" w:firstLine="0" w:firstLineChars="0"/>
        <w:rPr>
          <w:szCs w:val="32"/>
        </w:rPr>
      </w:pPr>
      <w:r>
        <w:rPr>
          <w:rFonts w:hint="eastAsia"/>
          <w:szCs w:val="32"/>
        </w:rPr>
        <w:t>1.知识与技能</w:t>
      </w:r>
    </w:p>
    <w:p>
      <w:pPr>
        <w:ind w:firstLine="480"/>
        <w:rPr>
          <w:szCs w:val="32"/>
        </w:rPr>
      </w:pPr>
      <w:r>
        <w:rPr>
          <w:rFonts w:hint="eastAsia"/>
          <w:szCs w:val="32"/>
        </w:rPr>
        <w:t>（1）掌握即看即说、评论方向正确、论述观点明朗的基本专业知识 。</w:t>
      </w:r>
    </w:p>
    <w:p>
      <w:pPr>
        <w:ind w:firstLine="480"/>
        <w:rPr>
          <w:szCs w:val="32"/>
        </w:rPr>
      </w:pPr>
      <w:r>
        <w:rPr>
          <w:rFonts w:hint="eastAsia"/>
          <w:szCs w:val="32"/>
        </w:rPr>
        <w:t xml:space="preserve">（2）能根据所抽的题材进行观点明确的基本论述。 </w:t>
      </w:r>
    </w:p>
    <w:p>
      <w:pPr>
        <w:ind w:firstLine="480"/>
        <w:rPr>
          <w:szCs w:val="32"/>
        </w:rPr>
      </w:pPr>
      <w:r>
        <w:rPr>
          <w:rFonts w:hint="eastAsia"/>
          <w:szCs w:val="32"/>
        </w:rPr>
        <w:t xml:space="preserve">（3）能完成对指定稿件的基本理解与评论 。 </w:t>
      </w:r>
    </w:p>
    <w:p>
      <w:pPr>
        <w:ind w:firstLine="480"/>
        <w:rPr>
          <w:szCs w:val="32"/>
        </w:rPr>
      </w:pPr>
      <w:r>
        <w:rPr>
          <w:rFonts w:hint="eastAsia"/>
          <w:szCs w:val="32"/>
        </w:rPr>
        <w:t xml:space="preserve">（4）具备一定的感染力和表现力。 </w:t>
      </w:r>
    </w:p>
    <w:p>
      <w:pPr>
        <w:tabs>
          <w:tab w:val="left" w:pos="312"/>
        </w:tabs>
        <w:ind w:left="480" w:firstLine="0" w:firstLineChars="0"/>
        <w:rPr>
          <w:szCs w:val="32"/>
        </w:rPr>
      </w:pPr>
      <w:r>
        <w:rPr>
          <w:rFonts w:hint="eastAsia"/>
          <w:szCs w:val="32"/>
        </w:rPr>
        <w:t>2.设备与材料</w:t>
      </w:r>
    </w:p>
    <w:p>
      <w:pPr>
        <w:ind w:left="480" w:leftChars="200" w:firstLine="0" w:firstLineChars="0"/>
      </w:pPr>
      <w:r>
        <w:rPr>
          <w:rFonts w:hint="eastAsia"/>
        </w:rPr>
        <w:t>（1）</w:t>
      </w:r>
      <w:r>
        <w:t>提示器与提词器：提示器可以用来显示节目流程、时间等关键信息，而提词器则显示稿件内容，帮助主持人在忘词或需要临时插入内容时快速找到正确的词汇和句子。</w:t>
      </w:r>
    </w:p>
    <w:p>
      <w:pPr>
        <w:ind w:left="480" w:leftChars="200" w:firstLine="0" w:firstLineChars="0"/>
      </w:pPr>
      <w:r>
        <w:rPr>
          <w:rFonts w:hint="eastAsia"/>
        </w:rPr>
        <w:t>（2）</w:t>
      </w:r>
      <w:r>
        <w:t>备用录音与播放设备：在主要设备出现故障时，备用的录音和播放设备可以迅速替换，确保节目不中断。</w:t>
      </w:r>
    </w:p>
    <w:p>
      <w:pPr>
        <w:tabs>
          <w:tab w:val="left" w:pos="312"/>
        </w:tabs>
        <w:ind w:left="480" w:firstLine="0" w:firstLineChars="0"/>
        <w:rPr>
          <w:szCs w:val="32"/>
        </w:rPr>
      </w:pPr>
      <w:r>
        <w:rPr>
          <w:rFonts w:hint="eastAsia"/>
          <w:szCs w:val="32"/>
        </w:rPr>
        <w:t>3.操作规范要求</w:t>
      </w:r>
    </w:p>
    <w:p>
      <w:pPr>
        <w:ind w:firstLine="480"/>
        <w:rPr>
          <w:szCs w:val="32"/>
        </w:rPr>
      </w:pPr>
      <w:r>
        <w:rPr>
          <w:rFonts w:hint="eastAsia"/>
          <w:szCs w:val="32"/>
        </w:rPr>
        <w:t xml:space="preserve">（1）遵守考场规则，按现场工作人员指引行动 。 </w:t>
      </w:r>
    </w:p>
    <w:p>
      <w:pPr>
        <w:ind w:firstLine="480"/>
        <w:rPr>
          <w:szCs w:val="32"/>
        </w:rPr>
      </w:pPr>
      <w:r>
        <w:rPr>
          <w:rFonts w:hint="eastAsia"/>
          <w:szCs w:val="32"/>
        </w:rPr>
        <w:t xml:space="preserve">（2）注意控制技能展示时间在5分钟之内。 </w:t>
      </w:r>
    </w:p>
    <w:p>
      <w:pPr>
        <w:tabs>
          <w:tab w:val="left" w:pos="451"/>
        </w:tabs>
        <w:ind w:firstLine="480"/>
      </w:pPr>
      <w:r>
        <w:rPr>
          <w:rFonts w:hint="eastAsia"/>
          <w:szCs w:val="32"/>
        </w:rPr>
        <w:t>（3）</w:t>
      </w:r>
      <w:r>
        <w:t>确保</w:t>
      </w:r>
      <w:r>
        <w:rPr>
          <w:rFonts w:hint="eastAsia"/>
        </w:rPr>
        <w:t>即兴评述的</w:t>
      </w:r>
      <w:r>
        <w:t>连贯性</w:t>
      </w:r>
      <w:r>
        <w:rPr>
          <w:rFonts w:hint="eastAsia"/>
        </w:rPr>
        <w:t>。</w:t>
      </w:r>
    </w:p>
    <w:p>
      <w:pPr>
        <w:tabs>
          <w:tab w:val="left" w:pos="451"/>
        </w:tabs>
        <w:ind w:firstLine="480"/>
      </w:pPr>
    </w:p>
    <w:p>
      <w:pPr>
        <w:tabs>
          <w:tab w:val="left" w:pos="451"/>
        </w:tabs>
        <w:ind w:firstLine="482"/>
        <w:rPr>
          <w:szCs w:val="32"/>
        </w:rPr>
      </w:pPr>
      <w:r>
        <w:rPr>
          <w:rFonts w:hint="eastAsia"/>
          <w:b/>
          <w:bCs/>
          <w:szCs w:val="32"/>
        </w:rPr>
        <w:t>技能模块3  现场报道</w:t>
      </w:r>
    </w:p>
    <w:p>
      <w:pPr>
        <w:ind w:firstLine="480"/>
        <w:rPr>
          <w:szCs w:val="32"/>
        </w:rPr>
      </w:pPr>
      <w:r>
        <w:rPr>
          <w:rFonts w:hint="eastAsia"/>
          <w:szCs w:val="32"/>
        </w:rPr>
        <w:t>1.知识与技能</w:t>
      </w:r>
    </w:p>
    <w:p>
      <w:pPr>
        <w:ind w:firstLine="480"/>
        <w:rPr>
          <w:szCs w:val="32"/>
        </w:rPr>
      </w:pPr>
      <w:r>
        <w:rPr>
          <w:rFonts w:hint="eastAsia"/>
          <w:szCs w:val="32"/>
        </w:rPr>
        <w:t>（1）具备能对题目内容能敏锐获得有效播报内容的能力。</w:t>
      </w:r>
    </w:p>
    <w:p>
      <w:pPr>
        <w:ind w:firstLine="480"/>
        <w:rPr>
          <w:szCs w:val="32"/>
        </w:rPr>
      </w:pPr>
      <w:r>
        <w:rPr>
          <w:rFonts w:hint="eastAsia"/>
          <w:szCs w:val="32"/>
        </w:rPr>
        <w:t>（2）能基本用语言及肢体还原现场情况。</w:t>
      </w:r>
    </w:p>
    <w:p>
      <w:pPr>
        <w:ind w:firstLine="480"/>
        <w:rPr>
          <w:szCs w:val="32"/>
        </w:rPr>
      </w:pPr>
      <w:r>
        <w:rPr>
          <w:rFonts w:hint="eastAsia"/>
          <w:szCs w:val="32"/>
        </w:rPr>
        <w:t>（3）能对标题目，不跑题不偏题。</w:t>
      </w:r>
    </w:p>
    <w:p>
      <w:pPr>
        <w:ind w:firstLine="480"/>
        <w:rPr>
          <w:szCs w:val="32"/>
        </w:rPr>
      </w:pPr>
      <w:r>
        <w:rPr>
          <w:rFonts w:hint="eastAsia"/>
          <w:szCs w:val="32"/>
        </w:rPr>
        <w:t xml:space="preserve">（4）具备一定的现场感。 </w:t>
      </w:r>
    </w:p>
    <w:p>
      <w:pPr>
        <w:ind w:firstLine="480"/>
        <w:rPr>
          <w:szCs w:val="32"/>
        </w:rPr>
      </w:pPr>
      <w:r>
        <w:rPr>
          <w:rFonts w:hint="eastAsia"/>
          <w:szCs w:val="32"/>
        </w:rPr>
        <w:t xml:space="preserve">2.设备与材料 </w:t>
      </w:r>
    </w:p>
    <w:p>
      <w:pPr>
        <w:ind w:firstLine="720" w:firstLineChars="300"/>
        <w:rPr>
          <w:szCs w:val="32"/>
        </w:rPr>
      </w:pPr>
      <w:r>
        <w:rPr>
          <w:rFonts w:hint="eastAsia"/>
          <w:szCs w:val="32"/>
        </w:rPr>
        <w:t>平板电脑。</w:t>
      </w:r>
    </w:p>
    <w:p>
      <w:pPr>
        <w:ind w:firstLine="480"/>
        <w:rPr>
          <w:szCs w:val="32"/>
        </w:rPr>
      </w:pPr>
      <w:r>
        <w:rPr>
          <w:rFonts w:hint="eastAsia"/>
          <w:szCs w:val="32"/>
        </w:rPr>
        <w:t xml:space="preserve">3.操作规范要求 </w:t>
      </w:r>
    </w:p>
    <w:p>
      <w:pPr>
        <w:ind w:firstLine="480"/>
        <w:rPr>
          <w:szCs w:val="32"/>
        </w:rPr>
      </w:pPr>
      <w:r>
        <w:rPr>
          <w:rFonts w:hint="eastAsia"/>
          <w:szCs w:val="32"/>
        </w:rPr>
        <w:t>（1）进考场前可进行稿件分析。</w:t>
      </w:r>
    </w:p>
    <w:p>
      <w:pPr>
        <w:ind w:firstLine="480"/>
        <w:rPr>
          <w:szCs w:val="32"/>
        </w:rPr>
      </w:pPr>
      <w:r>
        <w:rPr>
          <w:rFonts w:hint="eastAsia"/>
          <w:szCs w:val="32"/>
        </w:rPr>
        <w:t>（2）进考场后脱稿进行评述。</w:t>
      </w:r>
    </w:p>
    <w:p>
      <w:pPr>
        <w:ind w:firstLine="480"/>
        <w:rPr>
          <w:szCs w:val="32"/>
        </w:rPr>
      </w:pPr>
      <w:r>
        <w:rPr>
          <w:rFonts w:hint="eastAsia"/>
          <w:szCs w:val="32"/>
        </w:rPr>
        <w:t>（3）语言需要具有一定的感染力及情景再现能力。</w:t>
      </w:r>
    </w:p>
    <w:p>
      <w:pPr>
        <w:ind w:firstLine="480"/>
        <w:rPr>
          <w:szCs w:val="32"/>
        </w:rPr>
      </w:pPr>
      <w:r>
        <w:rPr>
          <w:rFonts w:hint="eastAsia"/>
          <w:szCs w:val="32"/>
        </w:rPr>
        <w:t>（5）评述要弘扬正能量，不可歪</w:t>
      </w:r>
      <w:r>
        <w:rPr>
          <w:rFonts w:hint="eastAsia"/>
          <w:color w:val="000000" w:themeColor="text1"/>
          <w:szCs w:val="32"/>
        </w:rPr>
        <w:t>曲理</w:t>
      </w:r>
      <w:r>
        <w:rPr>
          <w:rFonts w:hint="eastAsia"/>
          <w:szCs w:val="32"/>
        </w:rPr>
        <w:t>解。</w:t>
      </w:r>
    </w:p>
    <w:p>
      <w:pPr>
        <w:ind w:firstLine="480"/>
        <w:rPr>
          <w:szCs w:val="32"/>
        </w:rPr>
      </w:pPr>
      <w:r>
        <w:rPr>
          <w:rFonts w:hint="eastAsia"/>
          <w:szCs w:val="32"/>
        </w:rPr>
        <w:t>（6）注意控制展示时间在5分钟之内 。</w:t>
      </w:r>
    </w:p>
    <w:p>
      <w:pPr>
        <w:tabs>
          <w:tab w:val="left" w:pos="451"/>
        </w:tabs>
        <w:ind w:firstLine="480"/>
        <w:rPr>
          <w:szCs w:val="32"/>
        </w:rPr>
      </w:pPr>
    </w:p>
    <w:p>
      <w:pPr>
        <w:ind w:firstLine="482"/>
        <w:rPr>
          <w:szCs w:val="32"/>
        </w:rPr>
      </w:pPr>
      <w:r>
        <w:rPr>
          <w:rFonts w:hint="eastAsia"/>
          <w:b/>
          <w:bCs/>
          <w:szCs w:val="32"/>
        </w:rPr>
        <w:t>技能模块4  模拟主持</w:t>
      </w:r>
    </w:p>
    <w:p>
      <w:pPr>
        <w:ind w:firstLine="480"/>
        <w:rPr>
          <w:szCs w:val="32"/>
        </w:rPr>
      </w:pPr>
      <w:r>
        <w:rPr>
          <w:rFonts w:hint="eastAsia"/>
          <w:szCs w:val="32"/>
        </w:rPr>
        <w:t>1.知识与技能</w:t>
      </w:r>
    </w:p>
    <w:p>
      <w:pPr>
        <w:ind w:firstLine="480"/>
        <w:rPr>
          <w:szCs w:val="32"/>
        </w:rPr>
      </w:pPr>
      <w:r>
        <w:rPr>
          <w:rFonts w:hint="eastAsia"/>
          <w:szCs w:val="32"/>
        </w:rPr>
        <w:t>（1）能通过题目内容准确的传达信息，使现场听众理解并接受。</w:t>
      </w:r>
    </w:p>
    <w:p>
      <w:pPr>
        <w:ind w:firstLine="480"/>
        <w:rPr>
          <w:szCs w:val="32"/>
        </w:rPr>
      </w:pPr>
      <w:r>
        <w:rPr>
          <w:rFonts w:hint="eastAsia"/>
          <w:szCs w:val="32"/>
        </w:rPr>
        <w:t>（2）语言通顺，避免使用过于复杂的词汇及长句。</w:t>
      </w:r>
    </w:p>
    <w:p>
      <w:pPr>
        <w:ind w:firstLine="480"/>
        <w:rPr>
          <w:szCs w:val="32"/>
        </w:rPr>
      </w:pPr>
      <w:r>
        <w:rPr>
          <w:rFonts w:hint="eastAsia"/>
          <w:szCs w:val="32"/>
        </w:rPr>
        <w:t>（3）主持中可有效互动。</w:t>
      </w:r>
    </w:p>
    <w:p>
      <w:pPr>
        <w:ind w:firstLine="480"/>
        <w:rPr>
          <w:szCs w:val="32"/>
        </w:rPr>
      </w:pPr>
      <w:r>
        <w:rPr>
          <w:rFonts w:hint="eastAsia"/>
          <w:szCs w:val="32"/>
        </w:rPr>
        <w:t xml:space="preserve">（4）具备时间管理能力及应变能力。 </w:t>
      </w:r>
    </w:p>
    <w:p>
      <w:pPr>
        <w:ind w:firstLine="480"/>
        <w:rPr>
          <w:szCs w:val="32"/>
        </w:rPr>
      </w:pPr>
      <w:r>
        <w:rPr>
          <w:rFonts w:hint="eastAsia"/>
          <w:szCs w:val="32"/>
        </w:rPr>
        <w:t xml:space="preserve">2.设备与材料 </w:t>
      </w:r>
    </w:p>
    <w:p>
      <w:pPr>
        <w:ind w:firstLine="480"/>
        <w:rPr>
          <w:szCs w:val="32"/>
        </w:rPr>
      </w:pPr>
      <w:r>
        <w:rPr>
          <w:rFonts w:hint="eastAsia"/>
          <w:szCs w:val="32"/>
        </w:rPr>
        <w:t>平板电脑。</w:t>
      </w:r>
    </w:p>
    <w:p>
      <w:pPr>
        <w:ind w:firstLine="480"/>
        <w:rPr>
          <w:szCs w:val="32"/>
        </w:rPr>
      </w:pPr>
      <w:r>
        <w:rPr>
          <w:rFonts w:hint="eastAsia"/>
          <w:szCs w:val="32"/>
        </w:rPr>
        <w:t xml:space="preserve">3.操作规范要求 </w:t>
      </w:r>
    </w:p>
    <w:p>
      <w:pPr>
        <w:ind w:firstLine="480"/>
        <w:rPr>
          <w:szCs w:val="32"/>
        </w:rPr>
      </w:pPr>
      <w:r>
        <w:rPr>
          <w:rFonts w:hint="eastAsia"/>
          <w:szCs w:val="32"/>
        </w:rPr>
        <w:t>（1）进考场前可进行稿件分析。</w:t>
      </w:r>
    </w:p>
    <w:p>
      <w:pPr>
        <w:ind w:firstLine="480"/>
        <w:rPr>
          <w:szCs w:val="32"/>
        </w:rPr>
      </w:pPr>
      <w:r>
        <w:rPr>
          <w:rFonts w:hint="eastAsia"/>
          <w:szCs w:val="32"/>
        </w:rPr>
        <w:t>（2）进考场后脱稿进行现场模拟主持。</w:t>
      </w:r>
    </w:p>
    <w:p>
      <w:pPr>
        <w:ind w:firstLine="480"/>
        <w:rPr>
          <w:szCs w:val="32"/>
        </w:rPr>
      </w:pPr>
      <w:r>
        <w:rPr>
          <w:rFonts w:hint="eastAsia"/>
          <w:szCs w:val="32"/>
        </w:rPr>
        <w:t>（3）语言需要具有一定的感染力及情景再现能力。</w:t>
      </w:r>
    </w:p>
    <w:p>
      <w:pPr>
        <w:ind w:firstLine="480"/>
        <w:rPr>
          <w:szCs w:val="32"/>
        </w:rPr>
      </w:pPr>
      <w:r>
        <w:rPr>
          <w:rFonts w:hint="eastAsia"/>
          <w:szCs w:val="32"/>
        </w:rPr>
        <w:t>（5）主持内容不能跑题、偏题。要弘扬正能量，不可歪</w:t>
      </w:r>
      <w:r>
        <w:rPr>
          <w:rFonts w:hint="eastAsia"/>
          <w:color w:val="000000" w:themeColor="text1"/>
          <w:szCs w:val="32"/>
        </w:rPr>
        <w:t>曲理</w:t>
      </w:r>
      <w:r>
        <w:rPr>
          <w:rFonts w:hint="eastAsia"/>
          <w:szCs w:val="32"/>
        </w:rPr>
        <w:t>解。</w:t>
      </w:r>
    </w:p>
    <w:p>
      <w:pPr>
        <w:ind w:firstLine="480"/>
        <w:rPr>
          <w:szCs w:val="32"/>
        </w:rPr>
      </w:pPr>
      <w:r>
        <w:rPr>
          <w:rFonts w:hint="eastAsia"/>
          <w:szCs w:val="32"/>
        </w:rPr>
        <w:t>（6）注意控制展示时间在5分钟之内 。</w:t>
      </w:r>
    </w:p>
    <w:p>
      <w:pPr>
        <w:ind w:firstLine="0" w:firstLineChars="0"/>
        <w:rPr>
          <w:szCs w:val="32"/>
        </w:rPr>
      </w:pPr>
    </w:p>
    <w:p>
      <w:pPr>
        <w:pStyle w:val="3"/>
        <w:ind w:firstLine="482"/>
        <w:rPr>
          <w:rFonts w:hint="default"/>
        </w:rPr>
      </w:pPr>
      <w:r>
        <w:t>四、考核项目及权重</w:t>
      </w:r>
    </w:p>
    <w:p>
      <w:pPr>
        <w:ind w:firstLine="480"/>
      </w:pPr>
      <w:r>
        <w:rPr>
          <w:rFonts w:hint="eastAsia"/>
        </w:rPr>
        <w:t>结合考试范围给定2024年考核项目及权重，如表2所示。</w:t>
      </w:r>
    </w:p>
    <w:p>
      <w:pPr>
        <w:spacing w:line="440" w:lineRule="exact"/>
        <w:ind w:firstLine="0" w:firstLineChars="0"/>
        <w:jc w:val="center"/>
        <w:rPr>
          <w:rFonts w:ascii="黑体" w:hAnsi="黑体" w:eastAsia="黑体" w:cs="Arial"/>
          <w:kern w:val="0"/>
        </w:rPr>
      </w:pPr>
      <w:r>
        <w:rPr>
          <w:rFonts w:hint="eastAsia" w:ascii="黑体" w:hAnsi="黑体" w:eastAsia="黑体" w:cs="Arial"/>
          <w:kern w:val="0"/>
        </w:rPr>
        <w:t>表2  2024年考核项目及权重</w:t>
      </w:r>
    </w:p>
    <w:tbl>
      <w:tblPr>
        <w:tblStyle w:val="8"/>
        <w:tblW w:w="907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14"/>
        <w:gridCol w:w="1219"/>
        <w:gridCol w:w="2731"/>
        <w:gridCol w:w="645"/>
        <w:gridCol w:w="690"/>
        <w:gridCol w:w="25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tblHeader/>
          <w:jc w:val="center"/>
        </w:trPr>
        <w:tc>
          <w:tcPr>
            <w:tcW w:w="1214" w:type="dxa"/>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考核项目</w:t>
            </w:r>
          </w:p>
        </w:tc>
        <w:tc>
          <w:tcPr>
            <w:tcW w:w="1219" w:type="dxa"/>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考核时间</w:t>
            </w:r>
          </w:p>
        </w:tc>
        <w:tc>
          <w:tcPr>
            <w:tcW w:w="2731" w:type="dxa"/>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考核内容</w:t>
            </w:r>
          </w:p>
        </w:tc>
        <w:tc>
          <w:tcPr>
            <w:tcW w:w="1335" w:type="dxa"/>
            <w:gridSpan w:val="2"/>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权重</w:t>
            </w:r>
          </w:p>
        </w:tc>
        <w:tc>
          <w:tcPr>
            <w:tcW w:w="2572" w:type="dxa"/>
            <w:vAlign w:val="center"/>
          </w:tcPr>
          <w:p>
            <w:pPr>
              <w:spacing w:line="360" w:lineRule="exact"/>
              <w:ind w:firstLine="0" w:firstLineChars="0"/>
              <w:jc w:val="center"/>
              <w:rPr>
                <w:rFonts w:ascii="黑体" w:hAnsi="黑体" w:eastAsia="黑体" w:cs="黑体"/>
                <w:sz w:val="21"/>
                <w:szCs w:val="21"/>
              </w:rPr>
            </w:pPr>
            <w:r>
              <w:rPr>
                <w:rFonts w:hint="eastAsia" w:ascii="黑体" w:hAnsi="黑体" w:eastAsia="黑体" w:cs="黑体"/>
                <w:sz w:val="21"/>
                <w:szCs w:val="21"/>
              </w:rPr>
              <w:t>器材设备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1214" w:type="dxa"/>
            <w:vMerge w:val="restart"/>
            <w:vAlign w:val="center"/>
          </w:tcPr>
          <w:p>
            <w:pPr>
              <w:pStyle w:val="4"/>
              <w:ind w:firstLine="0" w:firstLineChars="0"/>
              <w:rPr>
                <w:rFonts w:ascii="宋体" w:hAnsi="宋体" w:cs="华文仿宋"/>
                <w:sz w:val="21"/>
                <w:szCs w:val="21"/>
              </w:rPr>
            </w:pPr>
            <w:r>
              <w:rPr>
                <w:rFonts w:hint="eastAsia" w:ascii="宋体" w:hAnsi="宋体" w:cs="华文仿宋"/>
                <w:sz w:val="21"/>
                <w:szCs w:val="21"/>
              </w:rPr>
              <w:t>指定稿件</w:t>
            </w:r>
          </w:p>
        </w:tc>
        <w:tc>
          <w:tcPr>
            <w:tcW w:w="1219"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15分钟</w:t>
            </w:r>
          </w:p>
        </w:tc>
        <w:tc>
          <w:tcPr>
            <w:tcW w:w="2731"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普通话标准程度</w:t>
            </w:r>
          </w:p>
        </w:tc>
        <w:tc>
          <w:tcPr>
            <w:tcW w:w="645"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690"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2572" w:type="dxa"/>
            <w:vMerge w:val="restart"/>
            <w:vAlign w:val="center"/>
          </w:tcPr>
          <w:p>
            <w:pPr>
              <w:spacing w:line="360" w:lineRule="exact"/>
              <w:ind w:firstLine="0" w:firstLineChars="0"/>
              <w:jc w:val="center"/>
              <w:rPr>
                <w:rFonts w:ascii="宋体" w:hAnsi="宋体" w:cs="华文仿宋"/>
                <w:sz w:val="21"/>
                <w:szCs w:val="21"/>
                <w:highlight w:val="magenta"/>
              </w:rPr>
            </w:pPr>
            <w:r>
              <w:rPr>
                <w:rFonts w:hint="eastAsia" w:ascii="宋体" w:hAnsi="宋体" w:cs="华文仿宋"/>
                <w:sz w:val="21"/>
                <w:szCs w:val="21"/>
              </w:rPr>
              <w:t>摄像机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cs="华文仿宋"/>
                <w:sz w:val="21"/>
                <w:szCs w:val="21"/>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要求“字正腔圆”</w:t>
            </w:r>
          </w:p>
        </w:tc>
        <w:tc>
          <w:tcPr>
            <w:tcW w:w="645"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60</w:t>
            </w:r>
          </w:p>
        </w:tc>
        <w:tc>
          <w:tcPr>
            <w:tcW w:w="690" w:type="dxa"/>
            <w:vMerge w:val="continue"/>
            <w:vAlign w:val="center"/>
          </w:tcPr>
          <w:p>
            <w:pPr>
              <w:spacing w:line="360" w:lineRule="exact"/>
              <w:ind w:firstLine="0" w:firstLineChars="0"/>
              <w:jc w:val="center"/>
              <w:rPr>
                <w:rFonts w:ascii="宋体" w:hAnsi="宋体" w:cs="华文仿宋"/>
                <w:sz w:val="21"/>
                <w:szCs w:val="21"/>
              </w:rPr>
            </w:pPr>
          </w:p>
        </w:tc>
        <w:tc>
          <w:tcPr>
            <w:tcW w:w="2572" w:type="dxa"/>
            <w:vMerge w:val="continue"/>
            <w:vAlign w:val="center"/>
          </w:tcPr>
          <w:p>
            <w:pPr>
              <w:spacing w:line="360" w:lineRule="exact"/>
              <w:ind w:firstLine="0" w:firstLineChars="0"/>
              <w:jc w:val="center"/>
              <w:rPr>
                <w:rFonts w:ascii="宋体" w:hAnsi="宋体" w:cs="华文仿宋"/>
                <w:sz w:val="21"/>
                <w:szCs w:val="21"/>
                <w:highlight w:val="magent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cs="华文仿宋"/>
                <w:sz w:val="21"/>
                <w:szCs w:val="21"/>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播音吐字应准确规范</w:t>
            </w:r>
          </w:p>
        </w:tc>
        <w:tc>
          <w:tcPr>
            <w:tcW w:w="645"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60</w:t>
            </w:r>
          </w:p>
        </w:tc>
        <w:tc>
          <w:tcPr>
            <w:tcW w:w="690" w:type="dxa"/>
            <w:vMerge w:val="continue"/>
            <w:vAlign w:val="center"/>
          </w:tcPr>
          <w:p>
            <w:pPr>
              <w:spacing w:line="360" w:lineRule="exact"/>
              <w:ind w:firstLine="0" w:firstLineChars="0"/>
              <w:jc w:val="center"/>
              <w:rPr>
                <w:rFonts w:ascii="宋体" w:hAnsi="宋体" w:cs="华文仿宋"/>
                <w:sz w:val="21"/>
                <w:szCs w:val="21"/>
              </w:rPr>
            </w:pPr>
          </w:p>
        </w:tc>
        <w:tc>
          <w:tcPr>
            <w:tcW w:w="2572" w:type="dxa"/>
            <w:vMerge w:val="continue"/>
            <w:vAlign w:val="center"/>
          </w:tcPr>
          <w:p>
            <w:pPr>
              <w:spacing w:line="360" w:lineRule="exact"/>
              <w:ind w:firstLine="0" w:firstLineChars="0"/>
              <w:jc w:val="center"/>
              <w:rPr>
                <w:rFonts w:ascii="宋体" w:hAnsi="宋体" w:cs="华文仿宋"/>
                <w:sz w:val="21"/>
                <w:szCs w:val="21"/>
                <w:highlight w:val="magent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cs="华文仿宋"/>
                <w:sz w:val="21"/>
                <w:szCs w:val="21"/>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要求播音吐字严格和精细</w:t>
            </w:r>
          </w:p>
        </w:tc>
        <w:tc>
          <w:tcPr>
            <w:tcW w:w="645"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50</w:t>
            </w:r>
          </w:p>
        </w:tc>
        <w:tc>
          <w:tcPr>
            <w:tcW w:w="690" w:type="dxa"/>
            <w:vMerge w:val="continue"/>
            <w:vAlign w:val="center"/>
          </w:tcPr>
          <w:p>
            <w:pPr>
              <w:spacing w:line="360" w:lineRule="exact"/>
              <w:ind w:firstLine="0" w:firstLineChars="0"/>
              <w:jc w:val="center"/>
              <w:rPr>
                <w:rFonts w:ascii="宋体" w:hAnsi="宋体" w:cs="华文仿宋"/>
                <w:sz w:val="21"/>
                <w:szCs w:val="21"/>
              </w:rPr>
            </w:pPr>
          </w:p>
        </w:tc>
        <w:tc>
          <w:tcPr>
            <w:tcW w:w="2572" w:type="dxa"/>
            <w:vMerge w:val="continue"/>
            <w:vAlign w:val="center"/>
          </w:tcPr>
          <w:p>
            <w:pPr>
              <w:spacing w:line="360" w:lineRule="exact"/>
              <w:ind w:firstLine="0" w:firstLineChars="0"/>
              <w:jc w:val="center"/>
              <w:rPr>
                <w:rFonts w:ascii="宋体" w:hAnsi="宋体" w:cs="华文仿宋"/>
                <w:sz w:val="21"/>
                <w:szCs w:val="21"/>
                <w:highlight w:val="magent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14"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即兴评述</w:t>
            </w:r>
          </w:p>
        </w:tc>
        <w:tc>
          <w:tcPr>
            <w:tcW w:w="1219"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15分钟</w:t>
            </w:r>
          </w:p>
        </w:tc>
        <w:tc>
          <w:tcPr>
            <w:tcW w:w="2731"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即兴表达能力</w:t>
            </w:r>
          </w:p>
        </w:tc>
        <w:tc>
          <w:tcPr>
            <w:tcW w:w="645"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50</w:t>
            </w:r>
          </w:p>
        </w:tc>
        <w:tc>
          <w:tcPr>
            <w:tcW w:w="690"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2572" w:type="dxa"/>
            <w:vMerge w:val="restart"/>
            <w:vAlign w:val="center"/>
          </w:tcPr>
          <w:p>
            <w:pPr>
              <w:spacing w:line="360" w:lineRule="exact"/>
              <w:ind w:firstLine="0" w:firstLineChars="0"/>
              <w:jc w:val="center"/>
              <w:rPr>
                <w:rFonts w:ascii="宋体" w:hAnsi="宋体" w:cs="华文仿宋"/>
                <w:sz w:val="21"/>
                <w:szCs w:val="21"/>
                <w:highlight w:val="magenta"/>
              </w:rPr>
            </w:pPr>
            <w:r>
              <w:rPr>
                <w:rFonts w:hint="eastAsia" w:ascii="宋体" w:hAnsi="宋体" w:cs="华文仿宋"/>
                <w:sz w:val="21"/>
                <w:szCs w:val="21"/>
              </w:rPr>
              <w:t>摄像机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cs="华文仿宋"/>
                <w:sz w:val="21"/>
                <w:szCs w:val="21"/>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形态体态语</w:t>
            </w:r>
          </w:p>
        </w:tc>
        <w:tc>
          <w:tcPr>
            <w:tcW w:w="645"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30</w:t>
            </w:r>
          </w:p>
        </w:tc>
        <w:tc>
          <w:tcPr>
            <w:tcW w:w="690" w:type="dxa"/>
            <w:vMerge w:val="continue"/>
            <w:vAlign w:val="center"/>
          </w:tcPr>
          <w:p>
            <w:pPr>
              <w:spacing w:line="360" w:lineRule="exact"/>
              <w:ind w:firstLine="0" w:firstLineChars="0"/>
              <w:jc w:val="center"/>
              <w:rPr>
                <w:rFonts w:ascii="宋体" w:hAnsi="宋体" w:cs="华文仿宋"/>
                <w:sz w:val="21"/>
                <w:szCs w:val="21"/>
              </w:rPr>
            </w:pPr>
          </w:p>
        </w:tc>
        <w:tc>
          <w:tcPr>
            <w:tcW w:w="2572" w:type="dxa"/>
            <w:vMerge w:val="continue"/>
            <w:vAlign w:val="center"/>
          </w:tcPr>
          <w:p>
            <w:pPr>
              <w:spacing w:line="360" w:lineRule="exact"/>
              <w:ind w:firstLine="0" w:firstLineChars="0"/>
              <w:jc w:val="center"/>
              <w:rPr>
                <w:rFonts w:ascii="宋体" w:hAnsi="宋体" w:cs="华文仿宋"/>
                <w:sz w:val="21"/>
                <w:szCs w:val="21"/>
                <w:highlight w:val="magent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cs="华文仿宋"/>
                <w:sz w:val="21"/>
                <w:szCs w:val="21"/>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素材理解能力</w:t>
            </w:r>
          </w:p>
        </w:tc>
        <w:tc>
          <w:tcPr>
            <w:tcW w:w="645"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50</w:t>
            </w:r>
          </w:p>
        </w:tc>
        <w:tc>
          <w:tcPr>
            <w:tcW w:w="690" w:type="dxa"/>
            <w:vMerge w:val="continue"/>
            <w:vAlign w:val="center"/>
          </w:tcPr>
          <w:p>
            <w:pPr>
              <w:spacing w:line="360" w:lineRule="exact"/>
              <w:ind w:firstLine="0" w:firstLineChars="0"/>
              <w:jc w:val="center"/>
              <w:rPr>
                <w:rFonts w:ascii="宋体" w:hAnsi="宋体" w:cs="华文仿宋"/>
                <w:sz w:val="21"/>
                <w:szCs w:val="21"/>
              </w:rPr>
            </w:pPr>
          </w:p>
        </w:tc>
        <w:tc>
          <w:tcPr>
            <w:tcW w:w="2572" w:type="dxa"/>
            <w:vMerge w:val="continue"/>
            <w:vAlign w:val="center"/>
          </w:tcPr>
          <w:p>
            <w:pPr>
              <w:spacing w:line="360" w:lineRule="exact"/>
              <w:ind w:firstLine="0" w:firstLineChars="0"/>
              <w:jc w:val="center"/>
              <w:rPr>
                <w:rFonts w:ascii="宋体" w:hAnsi="宋体" w:cs="华文仿宋"/>
                <w:sz w:val="21"/>
                <w:szCs w:val="21"/>
                <w:highlight w:val="magent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cs="华文仿宋"/>
                <w:sz w:val="21"/>
                <w:szCs w:val="21"/>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语言驾驭能力</w:t>
            </w:r>
          </w:p>
        </w:tc>
        <w:tc>
          <w:tcPr>
            <w:tcW w:w="645"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70</w:t>
            </w:r>
          </w:p>
        </w:tc>
        <w:tc>
          <w:tcPr>
            <w:tcW w:w="690" w:type="dxa"/>
            <w:vMerge w:val="continue"/>
            <w:vAlign w:val="center"/>
          </w:tcPr>
          <w:p>
            <w:pPr>
              <w:spacing w:line="360" w:lineRule="exact"/>
              <w:ind w:firstLine="0" w:firstLineChars="0"/>
              <w:jc w:val="center"/>
              <w:rPr>
                <w:rFonts w:ascii="宋体" w:hAnsi="宋体" w:cs="华文仿宋"/>
                <w:sz w:val="21"/>
                <w:szCs w:val="21"/>
              </w:rPr>
            </w:pPr>
          </w:p>
        </w:tc>
        <w:tc>
          <w:tcPr>
            <w:tcW w:w="2572" w:type="dxa"/>
            <w:vMerge w:val="continue"/>
            <w:vAlign w:val="center"/>
          </w:tcPr>
          <w:p>
            <w:pPr>
              <w:spacing w:line="360" w:lineRule="exact"/>
              <w:ind w:firstLine="0" w:firstLineChars="0"/>
              <w:jc w:val="center"/>
              <w:rPr>
                <w:rFonts w:ascii="宋体" w:hAnsi="宋体" w:cs="华文仿宋"/>
                <w:sz w:val="21"/>
                <w:szCs w:val="21"/>
                <w:highlight w:val="magent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jc w:val="center"/>
        </w:trPr>
        <w:tc>
          <w:tcPr>
            <w:tcW w:w="1214"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现场报道</w:t>
            </w:r>
          </w:p>
        </w:tc>
        <w:tc>
          <w:tcPr>
            <w:tcW w:w="1219"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15分钟</w:t>
            </w:r>
          </w:p>
        </w:tc>
        <w:tc>
          <w:tcPr>
            <w:tcW w:w="2731"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素材分析能力</w:t>
            </w:r>
          </w:p>
        </w:tc>
        <w:tc>
          <w:tcPr>
            <w:tcW w:w="645"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50</w:t>
            </w:r>
          </w:p>
        </w:tc>
        <w:tc>
          <w:tcPr>
            <w:tcW w:w="690"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2572" w:type="dxa"/>
            <w:vMerge w:val="restart"/>
            <w:vAlign w:val="center"/>
          </w:tcPr>
          <w:p>
            <w:pPr>
              <w:spacing w:line="360" w:lineRule="exact"/>
              <w:ind w:firstLine="0" w:firstLineChars="0"/>
              <w:jc w:val="center"/>
              <w:rPr>
                <w:rFonts w:ascii="宋体" w:hAnsi="宋体" w:cs="华文仿宋"/>
                <w:sz w:val="21"/>
                <w:szCs w:val="21"/>
                <w:highlight w:val="magenta"/>
              </w:rPr>
            </w:pPr>
            <w:r>
              <w:rPr>
                <w:rFonts w:hint="eastAsia" w:ascii="宋体" w:hAnsi="宋体" w:cs="华文仿宋"/>
                <w:sz w:val="21"/>
                <w:szCs w:val="21"/>
              </w:rPr>
              <w:t>摄像机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cs="华文仿宋"/>
                <w:sz w:val="21"/>
                <w:szCs w:val="21"/>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语言表达能力</w:t>
            </w:r>
          </w:p>
        </w:tc>
        <w:tc>
          <w:tcPr>
            <w:tcW w:w="645"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w:t>
            </w:r>
          </w:p>
        </w:tc>
        <w:tc>
          <w:tcPr>
            <w:tcW w:w="690" w:type="dxa"/>
            <w:vMerge w:val="continue"/>
            <w:vAlign w:val="center"/>
          </w:tcPr>
          <w:p>
            <w:pPr>
              <w:spacing w:line="360" w:lineRule="exact"/>
              <w:ind w:firstLine="0" w:firstLineChars="0"/>
              <w:jc w:val="center"/>
              <w:rPr>
                <w:rFonts w:ascii="宋体" w:hAnsi="宋体" w:cs="华文仿宋"/>
                <w:sz w:val="21"/>
                <w:szCs w:val="21"/>
              </w:rPr>
            </w:pPr>
          </w:p>
        </w:tc>
        <w:tc>
          <w:tcPr>
            <w:tcW w:w="2572"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cs="华文仿宋"/>
                <w:sz w:val="21"/>
                <w:szCs w:val="21"/>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现场感</w:t>
            </w:r>
          </w:p>
        </w:tc>
        <w:tc>
          <w:tcPr>
            <w:tcW w:w="645"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60</w:t>
            </w:r>
          </w:p>
        </w:tc>
        <w:tc>
          <w:tcPr>
            <w:tcW w:w="690" w:type="dxa"/>
            <w:vMerge w:val="continue"/>
            <w:vAlign w:val="center"/>
          </w:tcPr>
          <w:p>
            <w:pPr>
              <w:spacing w:line="360" w:lineRule="exact"/>
              <w:ind w:firstLine="0" w:firstLineChars="0"/>
              <w:jc w:val="center"/>
              <w:rPr>
                <w:rFonts w:ascii="宋体" w:hAnsi="宋体" w:cs="华文仿宋"/>
                <w:sz w:val="21"/>
                <w:szCs w:val="21"/>
              </w:rPr>
            </w:pPr>
          </w:p>
        </w:tc>
        <w:tc>
          <w:tcPr>
            <w:tcW w:w="2572"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1214" w:type="dxa"/>
            <w:vMerge w:val="continue"/>
            <w:vAlign w:val="center"/>
          </w:tcPr>
          <w:p>
            <w:pPr>
              <w:spacing w:line="360" w:lineRule="exact"/>
              <w:ind w:firstLine="0" w:firstLineChars="0"/>
              <w:jc w:val="center"/>
              <w:rPr>
                <w:rFonts w:ascii="宋体" w:hAnsi="宋体" w:cs="华文仿宋"/>
                <w:sz w:val="21"/>
                <w:szCs w:val="21"/>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灵活的思维</w:t>
            </w:r>
          </w:p>
        </w:tc>
        <w:tc>
          <w:tcPr>
            <w:tcW w:w="645"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70</w:t>
            </w:r>
          </w:p>
        </w:tc>
        <w:tc>
          <w:tcPr>
            <w:tcW w:w="690" w:type="dxa"/>
            <w:vMerge w:val="continue"/>
            <w:vAlign w:val="center"/>
          </w:tcPr>
          <w:p>
            <w:pPr>
              <w:spacing w:line="360" w:lineRule="exact"/>
              <w:ind w:firstLine="0" w:firstLineChars="0"/>
              <w:jc w:val="center"/>
              <w:rPr>
                <w:rFonts w:ascii="宋体" w:hAnsi="宋体" w:cs="华文仿宋"/>
                <w:sz w:val="21"/>
                <w:szCs w:val="21"/>
              </w:rPr>
            </w:pPr>
          </w:p>
        </w:tc>
        <w:tc>
          <w:tcPr>
            <w:tcW w:w="2572"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jc w:val="center"/>
        </w:trPr>
        <w:tc>
          <w:tcPr>
            <w:tcW w:w="1214"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模拟主持</w:t>
            </w:r>
          </w:p>
        </w:tc>
        <w:tc>
          <w:tcPr>
            <w:tcW w:w="1219"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15分钟</w:t>
            </w:r>
          </w:p>
        </w:tc>
        <w:tc>
          <w:tcPr>
            <w:tcW w:w="2731"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良好的沟通能力</w:t>
            </w:r>
          </w:p>
        </w:tc>
        <w:tc>
          <w:tcPr>
            <w:tcW w:w="645"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50</w:t>
            </w:r>
          </w:p>
        </w:tc>
        <w:tc>
          <w:tcPr>
            <w:tcW w:w="690"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200</w:t>
            </w:r>
          </w:p>
        </w:tc>
        <w:tc>
          <w:tcPr>
            <w:tcW w:w="2572" w:type="dxa"/>
            <w:vMerge w:val="restart"/>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摄像机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1214" w:type="dxa"/>
            <w:vMerge w:val="continue"/>
            <w:vAlign w:val="center"/>
          </w:tcPr>
          <w:p>
            <w:pPr>
              <w:spacing w:line="360" w:lineRule="exact"/>
              <w:ind w:firstLine="0" w:firstLineChars="0"/>
              <w:jc w:val="center"/>
              <w:rPr>
                <w:rFonts w:ascii="宋体" w:hAnsi="宋体" w:cs="华文仿宋"/>
                <w:sz w:val="21"/>
                <w:szCs w:val="21"/>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敏捷的思维和逻辑能力</w:t>
            </w:r>
          </w:p>
        </w:tc>
        <w:tc>
          <w:tcPr>
            <w:tcW w:w="645"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50</w:t>
            </w:r>
          </w:p>
        </w:tc>
        <w:tc>
          <w:tcPr>
            <w:tcW w:w="690" w:type="dxa"/>
            <w:vMerge w:val="continue"/>
            <w:vAlign w:val="center"/>
          </w:tcPr>
          <w:p>
            <w:pPr>
              <w:spacing w:line="360" w:lineRule="exact"/>
              <w:ind w:firstLine="0" w:firstLineChars="0"/>
              <w:jc w:val="center"/>
              <w:rPr>
                <w:rFonts w:ascii="宋体" w:hAnsi="宋体" w:cs="华文仿宋"/>
                <w:sz w:val="21"/>
                <w:szCs w:val="21"/>
              </w:rPr>
            </w:pPr>
          </w:p>
        </w:tc>
        <w:tc>
          <w:tcPr>
            <w:tcW w:w="2572"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jc w:val="center"/>
        </w:trPr>
        <w:tc>
          <w:tcPr>
            <w:tcW w:w="1214" w:type="dxa"/>
            <w:vMerge w:val="continue"/>
            <w:vAlign w:val="center"/>
          </w:tcPr>
          <w:p>
            <w:pPr>
              <w:spacing w:line="360" w:lineRule="exact"/>
              <w:ind w:firstLine="0" w:firstLineChars="0"/>
              <w:jc w:val="center"/>
              <w:rPr>
                <w:rFonts w:ascii="宋体" w:hAnsi="宋体" w:cs="华文仿宋"/>
                <w:sz w:val="21"/>
                <w:szCs w:val="21"/>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应变能力</w:t>
            </w:r>
          </w:p>
        </w:tc>
        <w:tc>
          <w:tcPr>
            <w:tcW w:w="645"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60</w:t>
            </w:r>
          </w:p>
        </w:tc>
        <w:tc>
          <w:tcPr>
            <w:tcW w:w="690" w:type="dxa"/>
            <w:vMerge w:val="continue"/>
            <w:vAlign w:val="center"/>
          </w:tcPr>
          <w:p>
            <w:pPr>
              <w:spacing w:line="360" w:lineRule="exact"/>
              <w:ind w:firstLine="0" w:firstLineChars="0"/>
              <w:jc w:val="center"/>
              <w:rPr>
                <w:rFonts w:ascii="宋体" w:hAnsi="宋体" w:cs="华文仿宋"/>
                <w:sz w:val="21"/>
                <w:szCs w:val="21"/>
              </w:rPr>
            </w:pPr>
          </w:p>
        </w:tc>
        <w:tc>
          <w:tcPr>
            <w:tcW w:w="2572" w:type="dxa"/>
            <w:vMerge w:val="continue"/>
            <w:vAlign w:val="center"/>
          </w:tcPr>
          <w:p>
            <w:pPr>
              <w:spacing w:line="360" w:lineRule="exact"/>
              <w:ind w:firstLine="0" w:firstLineChars="0"/>
              <w:jc w:val="center"/>
              <w:rPr>
                <w:rFonts w:ascii="宋体" w:hAnsi="宋体" w:cs="华文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atLeast"/>
          <w:jc w:val="center"/>
        </w:trPr>
        <w:tc>
          <w:tcPr>
            <w:tcW w:w="1214" w:type="dxa"/>
            <w:vMerge w:val="continue"/>
            <w:vAlign w:val="center"/>
          </w:tcPr>
          <w:p>
            <w:pPr>
              <w:spacing w:line="360" w:lineRule="exact"/>
              <w:ind w:firstLine="0" w:firstLineChars="0"/>
              <w:jc w:val="center"/>
              <w:rPr>
                <w:rFonts w:ascii="宋体" w:hAnsi="宋体" w:cs="华文仿宋"/>
                <w:sz w:val="21"/>
                <w:szCs w:val="21"/>
              </w:rPr>
            </w:pPr>
          </w:p>
        </w:tc>
        <w:tc>
          <w:tcPr>
            <w:tcW w:w="1219" w:type="dxa"/>
            <w:vMerge w:val="continue"/>
            <w:vAlign w:val="center"/>
          </w:tcPr>
          <w:p>
            <w:pPr>
              <w:spacing w:line="360" w:lineRule="exact"/>
              <w:ind w:firstLine="0" w:firstLineChars="0"/>
              <w:jc w:val="center"/>
              <w:rPr>
                <w:rFonts w:ascii="宋体" w:hAnsi="宋体" w:cs="华文仿宋"/>
                <w:sz w:val="21"/>
                <w:szCs w:val="21"/>
              </w:rPr>
            </w:pPr>
          </w:p>
        </w:tc>
        <w:tc>
          <w:tcPr>
            <w:tcW w:w="2731"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亲和力</w:t>
            </w:r>
          </w:p>
        </w:tc>
        <w:tc>
          <w:tcPr>
            <w:tcW w:w="645" w:type="dxa"/>
            <w:vAlign w:val="center"/>
          </w:tcPr>
          <w:p>
            <w:pPr>
              <w:spacing w:line="360" w:lineRule="exact"/>
              <w:ind w:firstLine="0" w:firstLineChars="0"/>
              <w:jc w:val="center"/>
              <w:rPr>
                <w:rFonts w:ascii="宋体" w:hAnsi="宋体" w:cs="华文仿宋"/>
                <w:sz w:val="21"/>
                <w:szCs w:val="21"/>
              </w:rPr>
            </w:pPr>
            <w:r>
              <w:rPr>
                <w:rFonts w:hint="eastAsia" w:ascii="宋体" w:hAnsi="宋体" w:cs="华文仿宋"/>
                <w:sz w:val="21"/>
                <w:szCs w:val="21"/>
              </w:rPr>
              <w:t>40</w:t>
            </w:r>
          </w:p>
        </w:tc>
        <w:tc>
          <w:tcPr>
            <w:tcW w:w="690" w:type="dxa"/>
            <w:vMerge w:val="continue"/>
            <w:vAlign w:val="center"/>
          </w:tcPr>
          <w:p>
            <w:pPr>
              <w:spacing w:line="360" w:lineRule="exact"/>
              <w:ind w:firstLine="0" w:firstLineChars="0"/>
              <w:jc w:val="center"/>
              <w:rPr>
                <w:rFonts w:ascii="宋体" w:hAnsi="宋体" w:cs="华文仿宋"/>
                <w:sz w:val="21"/>
                <w:szCs w:val="21"/>
              </w:rPr>
            </w:pPr>
          </w:p>
        </w:tc>
        <w:tc>
          <w:tcPr>
            <w:tcW w:w="2572" w:type="dxa"/>
            <w:vMerge w:val="continue"/>
            <w:vAlign w:val="center"/>
          </w:tcPr>
          <w:p>
            <w:pPr>
              <w:spacing w:line="360" w:lineRule="exact"/>
              <w:ind w:firstLine="0" w:firstLineChars="0"/>
              <w:jc w:val="center"/>
              <w:rPr>
                <w:rFonts w:ascii="宋体" w:hAnsi="宋体" w:cs="华文仿宋"/>
                <w:sz w:val="21"/>
                <w:szCs w:val="21"/>
              </w:rPr>
            </w:pPr>
          </w:p>
        </w:tc>
      </w:tr>
    </w:tbl>
    <w:p>
      <w:pPr>
        <w:pStyle w:val="3"/>
        <w:ind w:firstLine="482"/>
        <w:rPr>
          <w:rFonts w:hint="default"/>
        </w:rPr>
      </w:pPr>
      <w:r>
        <w:t>五</w:t>
      </w:r>
      <w:r>
        <w:rPr>
          <w:rFonts w:hint="default"/>
        </w:rPr>
        <w:t>、考试大纲</w:t>
      </w:r>
      <w:r>
        <w:t>编制</w:t>
      </w:r>
      <w:r>
        <w:rPr>
          <w:rFonts w:hint="default"/>
        </w:rPr>
        <w:t>说明</w:t>
      </w:r>
    </w:p>
    <w:p>
      <w:pPr>
        <w:ind w:firstLine="480"/>
        <w:rPr>
          <w:szCs w:val="32"/>
        </w:rPr>
      </w:pPr>
      <w:r>
        <w:rPr>
          <w:rFonts w:hint="eastAsia"/>
          <w:szCs w:val="32"/>
        </w:rPr>
        <w:t>1.考试大纲编制原则</w:t>
      </w:r>
    </w:p>
    <w:p>
      <w:pPr>
        <w:ind w:firstLine="480"/>
        <w:rPr>
          <w:szCs w:val="32"/>
        </w:rPr>
      </w:pPr>
      <w:r>
        <w:rPr>
          <w:rFonts w:hint="eastAsia"/>
          <w:color w:val="000000" w:themeColor="text1"/>
          <w:szCs w:val="32"/>
        </w:rPr>
        <w:t>遵循专业基础知识和岗位核心能力相结合原则，选取本专业典型专业技能，将专业知识融入技能操作，考查技能训练教学效果，考核学生职业岗位工作过程；兼顾中等职业学校播音与主持专业教学标准和职业技能标准，选取通用知识与技能作为考核项目，适当扩充考试范围及适当增加了难度，更好地选拔播音与主持专业技术技能人才。</w:t>
      </w:r>
    </w:p>
    <w:p>
      <w:pPr>
        <w:ind w:firstLine="480"/>
        <w:rPr>
          <w:szCs w:val="32"/>
        </w:rPr>
      </w:pPr>
      <w:r>
        <w:rPr>
          <w:rFonts w:hint="eastAsia"/>
          <w:szCs w:val="32"/>
        </w:rPr>
        <w:t>2.考试大纲适用专业</w:t>
      </w:r>
    </w:p>
    <w:p>
      <w:pPr>
        <w:ind w:firstLine="480"/>
      </w:pPr>
      <w:r>
        <w:rPr>
          <w:rFonts w:hint="eastAsia"/>
        </w:rPr>
        <w:t>本考试大纲适用于中等职业学校播音与主持专业。</w:t>
      </w:r>
    </w:p>
    <w:p>
      <w:pPr>
        <w:ind w:firstLine="480"/>
        <w:rPr>
          <w:szCs w:val="32"/>
        </w:rPr>
      </w:pPr>
      <w:r>
        <w:rPr>
          <w:rFonts w:hint="eastAsia"/>
          <w:szCs w:val="32"/>
        </w:rPr>
        <w:t>3.教学内容及实施建议</w:t>
      </w:r>
    </w:p>
    <w:p>
      <w:pPr>
        <w:ind w:firstLine="480"/>
      </w:pPr>
      <w:r>
        <w:rPr>
          <w:rFonts w:hint="eastAsia"/>
          <w:szCs w:val="32"/>
        </w:rPr>
        <w:t>（1）</w:t>
      </w:r>
      <w:r>
        <w:rPr>
          <w:rFonts w:hint="eastAsia"/>
        </w:rPr>
        <w:t>考纲对应教学内容，全面考核中等职业学校播音与主持专业学生在播音与主持方面的普通话语音发声、即兴口语表达、现场沟通能力、对舞台掌控能力，以及对文学艺术的品鉴能力。考试范围及难易程度合理，适用于选拔播音艺术人才。</w:t>
      </w:r>
    </w:p>
    <w:p>
      <w:pPr>
        <w:ind w:firstLine="480"/>
        <w:rPr>
          <w:szCs w:val="32"/>
        </w:rPr>
      </w:pPr>
      <w:r>
        <w:rPr>
          <w:rFonts w:hint="eastAsia"/>
          <w:szCs w:val="32"/>
        </w:rPr>
        <w:t>（2）教学实施建议，本次给定的2024年考核项目是中等职业学校播音与主持教学内容的一部分，考核项目每年有一定变化；建议中等职业学校依据本专业教学标准，合理匹配理论与实践教学，全面提升学生专业能力及综合素养。</w:t>
      </w:r>
    </w:p>
    <w:p>
      <w:pPr>
        <w:ind w:firstLine="480"/>
        <w:rPr>
          <w:szCs w:val="32"/>
        </w:rPr>
      </w:pPr>
      <w:r>
        <w:rPr>
          <w:rFonts w:hint="eastAsia"/>
          <w:szCs w:val="32"/>
        </w:rPr>
        <w:t>4.技能考试过程</w:t>
      </w:r>
    </w:p>
    <w:p>
      <w:pPr>
        <w:ind w:firstLine="480"/>
        <w:rPr>
          <w:szCs w:val="32"/>
        </w:rPr>
      </w:pPr>
      <w:r>
        <w:rPr>
          <w:rFonts w:hint="eastAsia"/>
          <w:szCs w:val="32"/>
        </w:rPr>
        <w:t>播音与主持专业技能考试采取实操方式进行，时间为15分钟；依据不同考核项目综合考察学生指定稿件、即兴评述、现场报道、模拟主持的基本能力以及相关知识的运用能力。</w:t>
      </w:r>
    </w:p>
    <w:p>
      <w:pPr>
        <w:ind w:firstLine="480"/>
        <w:rPr>
          <w:szCs w:val="32"/>
        </w:rPr>
      </w:pPr>
      <w:r>
        <w:rPr>
          <w:rFonts w:hint="eastAsia"/>
          <w:szCs w:val="32"/>
        </w:rPr>
        <w:t>5.评价赋分形式</w:t>
      </w:r>
    </w:p>
    <w:p>
      <w:pPr>
        <w:ind w:firstLine="480"/>
      </w:pPr>
      <w:r>
        <w:rPr>
          <w:rFonts w:hint="eastAsia"/>
        </w:rPr>
        <w:t>播音与主持专业技能考核为结果性评价，注重考生作品质量，权重合理。</w:t>
      </w:r>
    </w:p>
    <w:p>
      <w:pPr>
        <w:ind w:firstLine="0" w:firstLineChars="0"/>
        <w:rPr>
          <w:color w:val="000000" w:themeColor="text1"/>
          <w:szCs w:val="32"/>
        </w:rPr>
      </w:pPr>
    </w:p>
    <w:p>
      <w:pPr>
        <w:spacing w:line="440" w:lineRule="exact"/>
        <w:ind w:firstLine="0" w:firstLineChars="0"/>
        <w:rPr>
          <w:rFonts w:ascii="宋体" w:hAnsi="宋体" w:cs="Arial"/>
          <w:kern w:val="0"/>
        </w:rPr>
      </w:pPr>
      <w:bookmarkStart w:id="0" w:name="_GoBack"/>
      <w:bookmarkEnd w:id="0"/>
    </w:p>
    <w:sectPr>
      <w:headerReference r:id="rId7" w:type="first"/>
      <w:footerReference r:id="rId10" w:type="first"/>
      <w:headerReference r:id="rId5" w:type="default"/>
      <w:footerReference r:id="rId8" w:type="default"/>
      <w:headerReference r:id="rId6" w:type="even"/>
      <w:footerReference r:id="rId9" w:type="even"/>
      <w:pgSz w:w="11906" w:h="16838"/>
      <w:pgMar w:top="1440" w:right="1440" w:bottom="1440" w:left="144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480"/>
      </w:pPr>
      <w:r>
        <w:separator/>
      </w:r>
    </w:p>
  </w:endnote>
  <w:endnote w:type="continuationSeparator" w:id="1">
    <w:p>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Arial">
    <w:panose1 w:val="020B0604020202020204"/>
    <w:charset w:val="00"/>
    <w:family w:val="swiss"/>
    <w:pitch w:val="default"/>
    <w:sig w:usb0="E0002EFF" w:usb1="C000785B" w:usb2="00000009" w:usb3="00000000" w:csb0="400001FF" w:csb1="FFFF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before="120" w:after="120"/>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before="120" w:after="120"/>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spacing w:before="120" w:after="120"/>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480"/>
      </w:pPr>
      <w:r>
        <w:separator/>
      </w:r>
    </w:p>
  </w:footnote>
  <w:footnote w:type="continuationSeparator" w:id="1">
    <w:p>
      <w:pPr>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spacing w:before="120" w:after="120"/>
      <w:ind w:firstLine="0" w:firstLineChars="0"/>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before="120" w:after="120"/>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spacing w:before="120" w:after="120"/>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mFjOWUzZWFlZGNjZDlhZjdjMjlmMmY5YWQ0ODc0M2YifQ=="/>
    <w:docVar w:name="KSO_WPS_MARK_KEY" w:val="680b0df1-07a3-4bc8-b347-b967f7005314"/>
  </w:docVars>
  <w:rsids>
    <w:rsidRoot w:val="00556AAF"/>
    <w:rsid w:val="00002AF8"/>
    <w:rsid w:val="00033D06"/>
    <w:rsid w:val="000455DF"/>
    <w:rsid w:val="00046542"/>
    <w:rsid w:val="00055AAB"/>
    <w:rsid w:val="00084347"/>
    <w:rsid w:val="000C6337"/>
    <w:rsid w:val="000E79E0"/>
    <w:rsid w:val="001C0476"/>
    <w:rsid w:val="001C33AA"/>
    <w:rsid w:val="001D4ECD"/>
    <w:rsid w:val="00203DBA"/>
    <w:rsid w:val="002458EA"/>
    <w:rsid w:val="00293252"/>
    <w:rsid w:val="003761E1"/>
    <w:rsid w:val="00396AAF"/>
    <w:rsid w:val="003A348D"/>
    <w:rsid w:val="00407686"/>
    <w:rsid w:val="0048469D"/>
    <w:rsid w:val="004A18A6"/>
    <w:rsid w:val="004C18CB"/>
    <w:rsid w:val="004D38AF"/>
    <w:rsid w:val="00502F0C"/>
    <w:rsid w:val="00556AAF"/>
    <w:rsid w:val="00563939"/>
    <w:rsid w:val="0057588D"/>
    <w:rsid w:val="0060589C"/>
    <w:rsid w:val="00692AAD"/>
    <w:rsid w:val="006E314E"/>
    <w:rsid w:val="007124AF"/>
    <w:rsid w:val="00716406"/>
    <w:rsid w:val="007A0858"/>
    <w:rsid w:val="007E08BE"/>
    <w:rsid w:val="00810142"/>
    <w:rsid w:val="008177C9"/>
    <w:rsid w:val="00844617"/>
    <w:rsid w:val="0086671B"/>
    <w:rsid w:val="00880AA4"/>
    <w:rsid w:val="008A2A15"/>
    <w:rsid w:val="008B6415"/>
    <w:rsid w:val="008C49D5"/>
    <w:rsid w:val="00913643"/>
    <w:rsid w:val="009440E3"/>
    <w:rsid w:val="009B14DF"/>
    <w:rsid w:val="009E1B5B"/>
    <w:rsid w:val="009F5295"/>
    <w:rsid w:val="009F603C"/>
    <w:rsid w:val="00A169CA"/>
    <w:rsid w:val="00A33B9C"/>
    <w:rsid w:val="00A37A5A"/>
    <w:rsid w:val="00A456FE"/>
    <w:rsid w:val="00A539F6"/>
    <w:rsid w:val="00A572C4"/>
    <w:rsid w:val="00B80E95"/>
    <w:rsid w:val="00B8198A"/>
    <w:rsid w:val="00CA26E9"/>
    <w:rsid w:val="00CE1F4B"/>
    <w:rsid w:val="00CF3E52"/>
    <w:rsid w:val="00D26FF0"/>
    <w:rsid w:val="00D90C2B"/>
    <w:rsid w:val="00D92BC3"/>
    <w:rsid w:val="00DA6343"/>
    <w:rsid w:val="00DE5DA1"/>
    <w:rsid w:val="00DF4487"/>
    <w:rsid w:val="00E915C1"/>
    <w:rsid w:val="00EC0610"/>
    <w:rsid w:val="00EC0E84"/>
    <w:rsid w:val="00F46048"/>
    <w:rsid w:val="00F620D2"/>
    <w:rsid w:val="00FB7B7B"/>
    <w:rsid w:val="00FF51E3"/>
    <w:rsid w:val="00FF6DD8"/>
    <w:rsid w:val="01674DF2"/>
    <w:rsid w:val="036E5B30"/>
    <w:rsid w:val="038E0703"/>
    <w:rsid w:val="04B2316F"/>
    <w:rsid w:val="04B34B43"/>
    <w:rsid w:val="05F63100"/>
    <w:rsid w:val="07025EC3"/>
    <w:rsid w:val="0A28277F"/>
    <w:rsid w:val="0A3B1BF3"/>
    <w:rsid w:val="0F493E93"/>
    <w:rsid w:val="126A1B24"/>
    <w:rsid w:val="14307B9A"/>
    <w:rsid w:val="15A177F9"/>
    <w:rsid w:val="17A50911"/>
    <w:rsid w:val="186510A6"/>
    <w:rsid w:val="18FA6C07"/>
    <w:rsid w:val="19873DEB"/>
    <w:rsid w:val="1B5C1C2F"/>
    <w:rsid w:val="1BF754B3"/>
    <w:rsid w:val="1E3F5C17"/>
    <w:rsid w:val="1FC475AA"/>
    <w:rsid w:val="22086FD9"/>
    <w:rsid w:val="226412CC"/>
    <w:rsid w:val="228F5B9E"/>
    <w:rsid w:val="22934188"/>
    <w:rsid w:val="22F11CE0"/>
    <w:rsid w:val="23F7779D"/>
    <w:rsid w:val="24600C0F"/>
    <w:rsid w:val="24A46640"/>
    <w:rsid w:val="269767CE"/>
    <w:rsid w:val="272F636E"/>
    <w:rsid w:val="27DF1DDE"/>
    <w:rsid w:val="2A453BB1"/>
    <w:rsid w:val="2B627E31"/>
    <w:rsid w:val="2B6C37C8"/>
    <w:rsid w:val="2DCD5A87"/>
    <w:rsid w:val="2EB37960"/>
    <w:rsid w:val="308C75F3"/>
    <w:rsid w:val="33791FAE"/>
    <w:rsid w:val="344D210C"/>
    <w:rsid w:val="351333BE"/>
    <w:rsid w:val="35F256BD"/>
    <w:rsid w:val="38755BD4"/>
    <w:rsid w:val="39235CD0"/>
    <w:rsid w:val="3A182A9E"/>
    <w:rsid w:val="3D445DC1"/>
    <w:rsid w:val="3FB43F86"/>
    <w:rsid w:val="407A7E48"/>
    <w:rsid w:val="40D44F43"/>
    <w:rsid w:val="41313092"/>
    <w:rsid w:val="4171348E"/>
    <w:rsid w:val="42082E66"/>
    <w:rsid w:val="426C41F0"/>
    <w:rsid w:val="438A4CDB"/>
    <w:rsid w:val="43F25407"/>
    <w:rsid w:val="448C7851"/>
    <w:rsid w:val="454F3D2D"/>
    <w:rsid w:val="46AA595A"/>
    <w:rsid w:val="47694DF5"/>
    <w:rsid w:val="47901CC9"/>
    <w:rsid w:val="48A73C3A"/>
    <w:rsid w:val="48F8063F"/>
    <w:rsid w:val="4A047CB4"/>
    <w:rsid w:val="4C632C63"/>
    <w:rsid w:val="4CB52B24"/>
    <w:rsid w:val="4D0111D0"/>
    <w:rsid w:val="4EC0220B"/>
    <w:rsid w:val="500830C6"/>
    <w:rsid w:val="50B16A74"/>
    <w:rsid w:val="515558F4"/>
    <w:rsid w:val="51B94D16"/>
    <w:rsid w:val="52817C6A"/>
    <w:rsid w:val="5527005C"/>
    <w:rsid w:val="579F72CD"/>
    <w:rsid w:val="57B1418D"/>
    <w:rsid w:val="59FA659F"/>
    <w:rsid w:val="5B1E697D"/>
    <w:rsid w:val="5C7B2FBB"/>
    <w:rsid w:val="5D2679E3"/>
    <w:rsid w:val="5E3D4F96"/>
    <w:rsid w:val="5F1A0D4A"/>
    <w:rsid w:val="61F73B07"/>
    <w:rsid w:val="6231453C"/>
    <w:rsid w:val="62C602A8"/>
    <w:rsid w:val="66744555"/>
    <w:rsid w:val="679338AF"/>
    <w:rsid w:val="6991630A"/>
    <w:rsid w:val="6A097E59"/>
    <w:rsid w:val="6A911080"/>
    <w:rsid w:val="6BB64010"/>
    <w:rsid w:val="6F9807EA"/>
    <w:rsid w:val="71FE401B"/>
    <w:rsid w:val="725E66D0"/>
    <w:rsid w:val="75492334"/>
    <w:rsid w:val="76484F32"/>
    <w:rsid w:val="76816002"/>
    <w:rsid w:val="76AE03FA"/>
    <w:rsid w:val="786C0ACF"/>
    <w:rsid w:val="791906D8"/>
    <w:rsid w:val="7D532CBC"/>
    <w:rsid w:val="7D78521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562" w:firstLineChars="200"/>
      <w:jc w:val="both"/>
    </w:pPr>
    <w:rPr>
      <w:rFonts w:asciiTheme="minorHAnsi" w:hAnsiTheme="minorHAnsi" w:eastAsiaTheme="minorEastAsia" w:cstheme="minorBidi"/>
      <w:kern w:val="2"/>
      <w:sz w:val="24"/>
      <w:szCs w:val="24"/>
      <w:lang w:val="en-US" w:eastAsia="zh-CN" w:bidi="ar-SA"/>
    </w:rPr>
  </w:style>
  <w:style w:type="paragraph" w:styleId="2">
    <w:name w:val="heading 1"/>
    <w:basedOn w:val="1"/>
    <w:next w:val="1"/>
    <w:qFormat/>
    <w:uiPriority w:val="0"/>
    <w:pPr>
      <w:keepNext/>
      <w:keepLines/>
      <w:spacing w:line="576" w:lineRule="auto"/>
      <w:ind w:firstLine="0" w:firstLineChars="0"/>
      <w:jc w:val="center"/>
      <w:outlineLvl w:val="0"/>
    </w:pPr>
    <w:rPr>
      <w:rFonts w:eastAsia="黑体"/>
      <w:b/>
      <w:kern w:val="44"/>
      <w:sz w:val="28"/>
    </w:rPr>
  </w:style>
  <w:style w:type="paragraph" w:styleId="3">
    <w:name w:val="heading 2"/>
    <w:basedOn w:val="1"/>
    <w:next w:val="1"/>
    <w:unhideWhenUsed/>
    <w:qFormat/>
    <w:uiPriority w:val="0"/>
    <w:pPr>
      <w:spacing w:before="120" w:after="120" w:line="360" w:lineRule="auto"/>
      <w:jc w:val="left"/>
      <w:outlineLvl w:val="1"/>
    </w:pPr>
    <w:rPr>
      <w:rFonts w:hint="eastAsia" w:ascii="宋体" w:hAnsi="宋体" w:eastAsia="宋体" w:cs="Times New Roman"/>
      <w:b/>
      <w:bCs/>
      <w:kern w:val="0"/>
      <w:szCs w:val="36"/>
    </w:rPr>
  </w:style>
  <w:style w:type="character" w:default="1" w:styleId="10">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footer"/>
    <w:basedOn w:val="1"/>
    <w:link w:val="13"/>
    <w:qFormat/>
    <w:uiPriority w:val="0"/>
    <w:pPr>
      <w:tabs>
        <w:tab w:val="center" w:pos="4153"/>
        <w:tab w:val="right" w:pos="8306"/>
      </w:tabs>
      <w:snapToGrid w:val="0"/>
      <w:jc w:val="left"/>
    </w:pPr>
    <w:rPr>
      <w:sz w:val="18"/>
      <w:szCs w:val="18"/>
    </w:rPr>
  </w:style>
  <w:style w:type="paragraph" w:styleId="6">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spacing w:beforeAutospacing="1" w:afterAutospacing="1"/>
      <w:jc w:val="left"/>
    </w:pPr>
    <w:rPr>
      <w:rFonts w:cs="Times New Roman"/>
      <w:kern w:val="0"/>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Strong"/>
    <w:basedOn w:val="10"/>
    <w:qFormat/>
    <w:uiPriority w:val="0"/>
    <w:rPr>
      <w:b/>
    </w:rPr>
  </w:style>
  <w:style w:type="character" w:customStyle="1" w:styleId="12">
    <w:name w:val="页眉 Char"/>
    <w:basedOn w:val="10"/>
    <w:link w:val="6"/>
    <w:qFormat/>
    <w:uiPriority w:val="0"/>
    <w:rPr>
      <w:rFonts w:asciiTheme="minorHAnsi" w:hAnsiTheme="minorHAnsi" w:eastAsiaTheme="minorEastAsia" w:cstheme="minorBidi"/>
      <w:kern w:val="2"/>
      <w:sz w:val="18"/>
      <w:szCs w:val="18"/>
    </w:rPr>
  </w:style>
  <w:style w:type="character" w:customStyle="1" w:styleId="13">
    <w:name w:val="页脚 Char"/>
    <w:basedOn w:val="10"/>
    <w:link w:val="5"/>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HP</Company>
  <Pages>4</Pages>
  <Words>438</Words>
  <Characters>2502</Characters>
  <Lines>20</Lines>
  <Paragraphs>5</Paragraphs>
  <TotalTime>41</TotalTime>
  <ScaleCrop>false</ScaleCrop>
  <LinksUpToDate>false</LinksUpToDate>
  <CharactersWithSpaces>2935</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2023-11-05T04:56:00Z</dcterms:created>
  <dc:creator>季海成</dc:creator>
  <cp:lastModifiedBy>Echo</cp:lastModifiedBy>
  <dcterms:modified xsi:type="dcterms:W3CDTF">2024-03-05T02:15:46Z</dcterms:modified>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6634BDAC76B945A6ABE4135651A21BD6_13</vt:lpwstr>
  </property>
</Properties>
</file>