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2024年黑龙江省职业教育春季高考药剂专业技能操作考试大纲</w:t>
      </w:r>
    </w:p>
    <w:p>
      <w:pPr>
        <w:pStyle w:val="3"/>
        <w:ind w:firstLine="56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一</w:t>
      </w:r>
      <w:r>
        <w:rPr>
          <w:rFonts w:ascii="Times New Roman" w:hAnsi="Times New Roman" w:cs="Times New Roman"/>
          <w:szCs w:val="24"/>
        </w:rPr>
        <w:t>、考试依据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1.参照中华人民共和国教育部职业教育与成人教育司颁布的《中等职业学校专业教学标准（试行）》，2017年8月26日发布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</w:rPr>
        <w:t>2. 参照中华人民共和国教育部职业教育与成人教育司颁布的</w:t>
      </w:r>
      <w:r>
        <w:rPr>
          <w:rFonts w:hint="eastAsia" w:ascii="Times New Roman" w:hAnsi="Times New Roman" w:cs="Times New Roman"/>
        </w:rPr>
        <w:t>《</w:t>
      </w:r>
      <w:r>
        <w:rPr>
          <w:rFonts w:ascii="Times New Roman" w:hAnsi="Times New Roman" w:cs="Times New Roman"/>
        </w:rPr>
        <w:t>职业教育专业目录（2021年修订）</w:t>
      </w:r>
      <w:r>
        <w:rPr>
          <w:rFonts w:hint="eastAsia" w:ascii="Times New Roman" w:hAnsi="Times New Roman" w:cs="Times New Roman"/>
        </w:rPr>
        <w:t>》</w:t>
      </w:r>
      <w:r>
        <w:rPr>
          <w:rFonts w:ascii="Times New Roman" w:hAnsi="Times New Roman" w:cs="Times New Roman"/>
          <w:szCs w:val="32"/>
        </w:rPr>
        <w:t>；职业教育专业简介（2022年修订）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3.参照国家职业分类大典修订工作委员会修订的《中华人民共和国职业分类大典》（2022年版）（社会公示稿）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4.参照《国家职业技能标准（2019年修订）》（职业编码6-12-03-00）的《</w:t>
      </w:r>
      <w:r>
        <w:rPr>
          <w:rFonts w:ascii="Times New Roman" w:hAnsi="Times New Roman" w:cs="Times New Roman"/>
          <w:color w:val="333333"/>
          <w:szCs w:val="21"/>
        </w:rPr>
        <w:t>药物制剂工</w:t>
      </w:r>
      <w:r>
        <w:rPr>
          <w:rFonts w:ascii="Times New Roman" w:hAnsi="Times New Roman" w:cs="Times New Roman"/>
          <w:szCs w:val="32"/>
        </w:rPr>
        <w:t>》初、中级职业技能标准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5.药剂专业对口涵盖专业范围，如表1所示。</w:t>
      </w:r>
    </w:p>
    <w:p>
      <w:pPr>
        <w:ind w:firstLine="480"/>
        <w:jc w:val="center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表1 药剂专业对口涵盖专业范围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  <w:vAlign w:val="center"/>
          </w:tcPr>
          <w:p>
            <w:pPr>
              <w:widowControl/>
              <w:ind w:firstLine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ind w:firstLine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ind w:firstLine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  <w:jc w:val="center"/>
        </w:trPr>
        <w:tc>
          <w:tcPr>
            <w:tcW w:w="2764" w:type="dxa"/>
          </w:tcPr>
          <w:p>
            <w:pPr>
              <w:ind w:firstLine="420"/>
              <w:rPr>
                <w:rFonts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药剂720301</w:t>
            </w:r>
          </w:p>
        </w:tc>
        <w:tc>
          <w:tcPr>
            <w:tcW w:w="2766" w:type="dxa"/>
          </w:tcPr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药学520301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药品经营与管理490208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药品质量与安全490206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药品生产技术490201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生物制药技术490202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药物制剂技术490203</w:t>
            </w:r>
          </w:p>
          <w:p>
            <w:pPr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中药学520410</w:t>
            </w:r>
          </w:p>
          <w:p>
            <w:pPr>
              <w:ind w:firstLine="0" w:firstLineChars="0"/>
              <w:rPr>
                <w:rFonts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中药制药520415</w:t>
            </w:r>
          </w:p>
        </w:tc>
        <w:tc>
          <w:tcPr>
            <w:tcW w:w="2766" w:type="dxa"/>
          </w:tcPr>
          <w:p>
            <w:pPr>
              <w:ind w:firstLine="0" w:firstLineChars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1"/>
                <w:szCs w:val="21"/>
              </w:rPr>
              <w:t>高职本科专业：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药学320301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中药制药320401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中药材生产与加工320403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1"/>
                <w:szCs w:val="21"/>
              </w:rPr>
              <w:t>普通本科专业：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制药工程技术290201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药品质量管理290202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药事服务与管理290204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药物分析290205</w:t>
            </w:r>
          </w:p>
          <w:p>
            <w:pPr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药物制剂290206</w:t>
            </w:r>
          </w:p>
        </w:tc>
      </w:tr>
    </w:tbl>
    <w:p>
      <w:pPr>
        <w:pStyle w:val="3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二、考试方式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2024年黑龙江省职业教育春季高考</w:t>
      </w:r>
      <w:r>
        <w:rPr>
          <w:rFonts w:ascii="Times New Roman" w:hAnsi="Times New Roman" w:cs="Times New Roman"/>
          <w:szCs w:val="32"/>
        </w:rPr>
        <w:t>药剂专业技能考试为实践操作考试方式，考试总分为200分，实操项目随机抽取，考试时间为</w:t>
      </w:r>
      <w:r>
        <w:rPr>
          <w:rFonts w:hint="eastAsia" w:ascii="Times New Roman" w:hAnsi="Times New Roman" w:cs="Times New Roman"/>
          <w:szCs w:val="32"/>
        </w:rPr>
        <w:t>15</w:t>
      </w:r>
      <w:r>
        <w:rPr>
          <w:rFonts w:hint="eastAsia" w:ascii="宋体" w:hAnsi="宋体" w:cs="Times New Roman"/>
          <w:szCs w:val="32"/>
        </w:rPr>
        <w:t>-</w:t>
      </w:r>
      <w:r>
        <w:rPr>
          <w:rFonts w:ascii="Times New Roman" w:hAnsi="Times New Roman" w:cs="Times New Roman"/>
          <w:szCs w:val="32"/>
        </w:rPr>
        <w:t>40分钟。</w:t>
      </w:r>
    </w:p>
    <w:p>
      <w:pPr>
        <w:pStyle w:val="3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三、考试范围和要求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 xml:space="preserve">技能模块1 </w:t>
      </w:r>
      <w:r>
        <w:rPr>
          <w:rFonts w:hint="eastAsia" w:ascii="Times New Roman" w:hAnsi="Times New Roman" w:cs="Times New Roman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中药相关基础技能</w:t>
      </w:r>
    </w:p>
    <w:p>
      <w:pPr>
        <w:ind w:left="48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1．知识与技能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（1）具备掌握常用中药的性状鉴别要点，运用性状鉴定技术快速识别常用中药，做到见药知名的能力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（2）具备熟练运用性状鉴定方法准确开展易混中药的鉴定能力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（3）具备能在《中国药典》指导下正确开展常用中药的显微鉴定的能力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（4）具备理解常用中药鉴定专业术语的能力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（5）具备从事中药鉴定相关职业活动所需要的工作方法及自主学习能力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（6）具有科学的思维习惯和系统认识能力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（7）能根据考试要求，规范填写相关内容。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2．设备与材料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（1）实验台、软椅、秒表、放大镜、普通生物显微镜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（2）烧杯、</w:t>
      </w:r>
      <w:r>
        <w:rPr>
          <w:rFonts w:ascii="Times New Roman" w:hAnsi="Times New Roman" w:cs="Times New Roman"/>
          <w:szCs w:val="32"/>
        </w:rPr>
        <w:t>培养皿、</w:t>
      </w:r>
      <w:r>
        <w:rPr>
          <w:rFonts w:ascii="Times New Roman" w:hAnsi="Times New Roman" w:cs="Times New Roman"/>
        </w:rPr>
        <w:t>酒精灯、小锤子、钳子、镊子、滴瓶、玻璃棒、火柴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（3）塑料桶、</w:t>
      </w:r>
      <w:r>
        <w:rPr>
          <w:rFonts w:ascii="Times New Roman" w:hAnsi="Times New Roman" w:cs="Times New Roman"/>
          <w:szCs w:val="32"/>
        </w:rPr>
        <w:t>医用手套、</w:t>
      </w:r>
      <w:r>
        <w:rPr>
          <w:rFonts w:ascii="Times New Roman" w:hAnsi="Times New Roman" w:cs="Times New Roman"/>
        </w:rPr>
        <w:t>水瓶、瓷盘（大、小）、刀片、席签、标签纸、记号笔、</w:t>
      </w:r>
      <w:r>
        <w:rPr>
          <w:rFonts w:ascii="Times New Roman" w:hAnsi="Times New Roman" w:cs="Times New Roman"/>
          <w:szCs w:val="32"/>
        </w:rPr>
        <w:t>废物缸、废液缸、回收瓶、漱口水（清水）</w:t>
      </w:r>
      <w:r>
        <w:rPr>
          <w:rFonts w:hint="eastAsia" w:ascii="Times New Roman" w:hAnsi="Times New Roman" w:cs="Times New Roman"/>
        </w:rPr>
        <w:t>。</w:t>
      </w:r>
    </w:p>
    <w:p>
      <w:pPr>
        <w:ind w:left="480" w:leftChars="20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（4）免洗载玻片、免洗盖玻片、竹签、探针、吸水纸、水合氯醛试剂滴瓶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（5）蒸馏水试剂滴瓶、稀甘油试剂滴瓶、5% 氢氧化钾试剂滴瓶</w:t>
      </w:r>
      <w:r>
        <w:rPr>
          <w:rFonts w:hint="eastAsia" w:ascii="Times New Roman" w:hAnsi="Times New Roman" w:cs="Times New Roman"/>
        </w:rPr>
        <w:t>。</w:t>
      </w:r>
    </w:p>
    <w:p>
      <w:pPr>
        <w:ind w:left="48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（6）常用中药饮片、中药粉末及其他药品</w:t>
      </w:r>
      <w:r>
        <w:rPr>
          <w:rFonts w:hint="eastAsia" w:ascii="Times New Roman" w:hAnsi="Times New Roman" w:cs="Times New Roman"/>
        </w:rPr>
        <w:t>。</w:t>
      </w:r>
    </w:p>
    <w:p>
      <w:pPr>
        <w:ind w:left="48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32"/>
        </w:rPr>
        <w:t>（7）实验报告单、纸、笔、洗手液、毛巾、抹布、一次性纸杯等。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3．操作规范要求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（1）遵守医药行业法规、规范和企业规章制度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（2）着装符合职业要求，穿白服、戴白帽等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（3）操作过程中具有良好的卫生习惯，爱护、节约实验物品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（4）按照标准、规范的使用实验仪器或设备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（5）正确处理操作中出现的废弃物，操作后进行清场、记录。</w:t>
      </w:r>
    </w:p>
    <w:p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 xml:space="preserve">技能模块2 </w:t>
      </w:r>
      <w:r>
        <w:rPr>
          <w:rFonts w:hint="eastAsia" w:ascii="Times New Roman" w:hAnsi="Times New Roman" w:cs="Times New Roman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药物制剂技能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1．知识与技能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（1）掌握常见剂型的概念、特点、分类及给药途径等基本理论知识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（2）掌握常见药物剂型的生产流程、工艺要求及质量标准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（3）熟悉制剂行业的常用法规、生产管理等知识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（4）能熟练查阅药典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（5）具有医院制剂的能力，能进行医院制剂的配置和检验工作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（6）能根据考试要求，规范填写相关内容。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2．设备与材料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（1）电子天平、药匙、称量纸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（2）烧杯、量杯、量筒、搅拌棒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（3）酒精棉、干棉球、医用手套、镊子、废物缸、废液缸、回收瓶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（4）实验报告单、笔、洗手液、毛巾、抹布等。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3．操作规范要求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（1）遵守医药行业法规、规范和企业规章制度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（2）着装符合职业要求，穿白服、戴白帽等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（3）操作过程中具有良好的卫生习惯；爱护、节约实验物品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（4）标准、规范的使用实验仪器或设备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（5）正确处理操作中出现的废弃物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（6）操作后进行清场、记录。</w:t>
      </w:r>
    </w:p>
    <w:p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 xml:space="preserve">技能模块3 </w:t>
      </w:r>
      <w:r>
        <w:rPr>
          <w:rFonts w:hint="eastAsia" w:ascii="Times New Roman" w:hAnsi="Times New Roman" w:cs="Times New Roman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药物检测技能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1．知识与技能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（1）掌握《中国药典》中药品质量标准内容，凡例及通则等基本知识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（2）掌握药物性状、鉴别、检查和含量测定技术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（3）能熟练查阅《中国药典》，正确记录实验结果，并对检测结果做出正确判断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（4）能独立完成溶液浓度的相关计算及溶液配制操作</w:t>
      </w:r>
      <w:r>
        <w:rPr>
          <w:rFonts w:hint="eastAsia" w:ascii="Times New Roman" w:hAnsi="Times New Roman" w:cs="Times New Roman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（5）能正确选择、使用容量瓶、移液管、纳氏比色管及配套器材完成实验操作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（6）能正确使用常见药物检测仪器设备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（7）能根据考试要求，规范填写相关内容。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2．设备与材料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（1）浓盐酸、纯化水、葡萄糖、氯化钠注射液、稀硝酸、硝酸银试液、标准氯化钠溶液（每1ml相当于10</w:t>
      </w:r>
      <w:r>
        <w:rPr>
          <w:rFonts w:ascii="Times New Roman" w:hAnsi="Times New Roman" w:cs="Times New Roman"/>
          <w:szCs w:val="32"/>
        </w:rPr>
        <w:sym w:font="Symbol" w:char="F06D"/>
      </w:r>
      <w:r>
        <w:rPr>
          <w:rFonts w:ascii="Times New Roman" w:hAnsi="Times New Roman" w:cs="Times New Roman"/>
          <w:szCs w:val="32"/>
        </w:rPr>
        <w:t>g的Cl</w:t>
      </w:r>
      <w:r>
        <w:rPr>
          <w:rFonts w:ascii="Times New Roman" w:hAnsi="Times New Roman" w:cs="Times New Roman"/>
          <w:szCs w:val="32"/>
          <w:vertAlign w:val="superscript"/>
        </w:rPr>
        <w:t>-</w:t>
      </w:r>
      <w:r>
        <w:rPr>
          <w:rFonts w:ascii="Times New Roman" w:hAnsi="Times New Roman" w:cs="Times New Roman"/>
          <w:szCs w:val="32"/>
        </w:rPr>
        <w:t>）、混合磷酸盐标准缓冲溶液（pH=6.86）、邻苯二甲酸氢钾标准缓冲溶液（pH=4.00）等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（2）电子天平、pHS-3C型酸度计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（3）容量瓶、移液管、纳氏比色管、量筒、量杯、烧杯、玻璃棒、胶头滴管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（4）洗耳球、比色管架、药匙、称量纸、滤纸、温度计、中性笔、标签纸、废药缸、废液缸、废物缸、计算草纸或计算器等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（5）实验报告单、仪器使用记录本、黑色背景板、黑色箱子、表、洗手液、毛巾、抹布、试管刷、去污粉、剪刀等。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3．操作规范要求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（1）遵守医药行业法规、规范和企业检验岗位规章制度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（2）着装符合职业要求，穿白服、戴白帽等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（3）规范使用玻璃器材，操作仪器设备，爱护、节约实验物品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（4）操作前后物品摆放有序，保持实验台面干净、整洁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（5）正确处理操作中出现的废弃物。</w:t>
      </w:r>
    </w:p>
    <w:p>
      <w:pPr>
        <w:pStyle w:val="3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四、考核项目及权重</w:t>
      </w:r>
    </w:p>
    <w:p>
      <w:pPr>
        <w:spacing w:line="360" w:lineRule="auto"/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结合考试范围给定2024年考核项目及权重，如表2所示。</w:t>
      </w:r>
    </w:p>
    <w:p>
      <w:pPr>
        <w:spacing w:line="360" w:lineRule="auto"/>
        <w:ind w:firstLine="480"/>
        <w:jc w:val="center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表2</w:t>
      </w:r>
      <w:r>
        <w:rPr>
          <w:rFonts w:hint="eastAsia" w:ascii="Times New Roman" w:hAnsi="Times New Roman" w:eastAsia="黑体" w:cs="Times New Roman"/>
          <w:szCs w:val="32"/>
        </w:rPr>
        <w:t xml:space="preserve"> </w:t>
      </w:r>
      <w:r>
        <w:rPr>
          <w:rFonts w:ascii="Times New Roman" w:hAnsi="Times New Roman" w:eastAsia="黑体" w:cs="Times New Roman"/>
          <w:szCs w:val="32"/>
        </w:rPr>
        <w:t xml:space="preserve"> 2024年考核项目及权重</w:t>
      </w:r>
    </w:p>
    <w:tbl>
      <w:tblPr>
        <w:tblStyle w:val="9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895"/>
        <w:gridCol w:w="2551"/>
        <w:gridCol w:w="709"/>
        <w:gridCol w:w="709"/>
        <w:gridCol w:w="2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tblHeader/>
          <w:jc w:val="center"/>
        </w:trPr>
        <w:tc>
          <w:tcPr>
            <w:tcW w:w="122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考核项目</w:t>
            </w:r>
          </w:p>
        </w:tc>
        <w:tc>
          <w:tcPr>
            <w:tcW w:w="895" w:type="dxa"/>
            <w:vAlign w:val="center"/>
          </w:tcPr>
          <w:p>
            <w:pPr>
              <w:spacing w:line="360" w:lineRule="exact"/>
              <w:ind w:firstLine="0" w:firstLineChars="0"/>
              <w:jc w:val="distribute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考核时间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考核内容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权重</w:t>
            </w:r>
          </w:p>
        </w:tc>
        <w:tc>
          <w:tcPr>
            <w:tcW w:w="2980" w:type="dxa"/>
            <w:vAlign w:val="center"/>
          </w:tcPr>
          <w:p>
            <w:pPr>
              <w:spacing w:line="360" w:lineRule="exact"/>
              <w:ind w:firstLine="48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器材及药品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中药饮片性状鉴定（一）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15分钟</w:t>
            </w: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1.服装服饰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器材：烧杯、培养皿、酒精灯、火柴、医用手套、镊子、废物缸、废液缸、回收瓶、一次性纸杯、号签；</w:t>
            </w:r>
          </w:p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漱口水（清水）、常用中药饮片（药材标本——龙胆、丹参、甘遂、金银花、天花粉、瓜蒌、瓜蒌仁、党参、藿香、菊花、甘草、浙贝、砂仁、血竭、乳香、杜仲、柴胡、天麻、干姜、黄柏、黄芪、白茅根、延胡索、五味子、黄连、大黄、桃仁、羚羊角、全蝎、蛤蚧、鳖甲、朱砂、芒硝、石决明、龙骨、羌活、麦冬、桑叶、泽泻、薏苡仁、山楂、葶苈子、橘皮（陈皮）、白芷、苍术、葛根、牡丹皮、香附、白术、荆芥、益母草、冰片等随机抽选三十种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2.仪表举止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3.专业习惯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4.礼貌素质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5.辨药识药（随机抽取30种）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76" w:lineRule="auto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6.清场工作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7.书写报告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8.操作时间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中药饮片性状鉴定（二）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1.服装服饰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器材：烧杯、培养皿、酒精灯、火柴、医用手套、镊子、废物缸、废液缸、回收瓶、一次性纸杯、号签；</w:t>
            </w:r>
          </w:p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漱口水（清水）、常用中药饮片（药材标本——茯苓、生姜、细辛、附子（白附片、黑顺片）、白芍（赤芍）、厚朴、肉桂、连翘（老翘、青翘）、番泻叶、枳壳（枳实）、人参(红参、糖参)、当归、小茴香、没药、苦杏仁、薄荷、黄芩、地黄、钩藤、栀子、槟榔、川贝、麦冬、三七、半夏、全蝎、鹿茸、鸡内金、龟甲、石膏、硫磺、磁石、代赭石、独活、天冬、艾叶、白及、莱菔子、枸杞子、牛蒡子、麦芽、防风、郁金、牛膝、桑白皮、知母、升麻、紫苏、桂枝、红花等随机抽选三十种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2.仪表举止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3.专业习惯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4.礼貌素质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</w:rPr>
              <w:t>5.辨药识药（随机抽取30种）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6.清场工作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7.书写报告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8.操作时间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中药粉末显微鉴定（一）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器材：普通生物显微镜、免洗载玻片、免洗盖玻片、吸水纸、烧杯、酒精灯、镊子、探针、滴瓶、玻璃棒、火柴、瓷盘、席签、秒表、标签纸等。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药品：水合氯醛试剂滴瓶、蒸馏水试剂滴瓶、稀甘油试剂滴瓶、5%氢氧化钾试剂滴瓶、考试用中药粉末（大黄、黄连-味连、金银花、红花、五味子、天麻、薄荷、穿心莲、厚朴、肉桂）等。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其他：实验报告单、纸、笔、洗手液、毛巾、抹布、试管刷、去污粉、剪刀等。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2.粉末制片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3.显微镜使用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4.显微特征绘制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5.显微特征描述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6.鉴别结论与鉴别理由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中药粉末显微鉴定（二）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器材：普通生物显微镜、免洗载玻片、免洗盖玻片、吸水纸、烧杯、酒精灯、镊子、探针、滴瓶、玻璃棒、火柴、瓷盘、席签、秒表、标签纸等。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药品：水合氯醛试剂滴瓶、蒸馏水试剂滴瓶、稀甘油试剂滴瓶、5%氢氧化钾试剂滴瓶、考试用粉末（黄柏、番泻叶、人参、半夏、丁香、甘草、小茴香、麻黄、牡丹皮、黄芩）等。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其他：实验报告单、纸、笔、洗手液、毛巾、抹布、试管刷、去污粉、剪刀等。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2.粉末制片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3.显微镜使用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4.显微特征绘制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5.显微特征描述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6.鉴别结论与鉴别理由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配制100ml 1mol/L HCl溶液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360" w:lineRule="exact"/>
              <w:ind w:firstLine="384" w:firstLineChars="18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器材：容量瓶（100ml）1个、量筒（10ml）1个、烧杯（100ml）2个、试剂瓶（200ml装浓盐酸）、洗瓶（装满纯化水）、玻璃棒1支、胶头滴管2支、废液缸等。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药品：纯化水、浓盐酸（37%、1.18g/cm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、36.5g/mol，10ml/人）等。</w:t>
            </w:r>
          </w:p>
          <w:p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其他：实验报告单、洗手液、毛巾、抹布、试管刷、去污粉、计算草纸或计算器、中性笔等。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2.仪器洗涤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3.公式及计算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4.容量瓶的检查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5.溶液配制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8.操作时间</w:t>
            </w:r>
          </w:p>
        </w:tc>
        <w:tc>
          <w:tcPr>
            <w:tcW w:w="709" w:type="dxa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葡萄糖的杂质检查—氯化物检查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天平（0.001g）1台、纳氏比色管（50ml）4个、比色管架1个、胶头滴管2个、量筒（25ml）1个、量筒（10ml）1个、烧杯（100ml）2个、玻璃棒1支、移液管（10ml）1个、移液管（1ml）1个、药匙1个、废药缸、废液缸、废物缸、洗耳球、滤纸、称量纸等。</w:t>
            </w:r>
          </w:p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药品：葡萄糖、稀硝酸、硝酸银试液、纯化水、标准氯化钠溶液（每1ml相当于10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sym w:font="Symbol" w:char="F06D"/>
            </w:r>
            <w:r>
              <w:rPr>
                <w:rFonts w:ascii="Times New Roman" w:hAnsi="Times New Roman" w:cs="Times New Roman"/>
                <w:sz w:val="21"/>
                <w:szCs w:val="21"/>
              </w:rPr>
              <w:t>g的Cl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）。</w:t>
            </w:r>
          </w:p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其他：实验报告单、仪器使用记录本、黑色背景板、黑色箱子、表、洗手液、毛巾、抹布、试管刷、去污粉、中性笔等。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2.准备配套纳氏比色管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3.供试品溶液的制备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4.对照溶液的制备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5.结果判定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8.操作时间</w:t>
            </w:r>
          </w:p>
        </w:tc>
        <w:tc>
          <w:tcPr>
            <w:tcW w:w="709" w:type="dxa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氯化钠注射液pH值测定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器材：pHS-3C型酸度计、温度计、洗瓶（装满纯化水）、烧杯（100ml）3个、玻璃棒1支、废物缸、废液缸、滤纸等。</w:t>
            </w:r>
          </w:p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药品：氯化钠注射液、混合磷酸盐标准缓冲溶液（pH=6.86）、邻苯二甲酸氢钾标准缓冲溶液（pH=4.00）、纯化水等。</w:t>
            </w:r>
          </w:p>
          <w:p>
            <w:pPr>
              <w:spacing w:line="360" w:lineRule="exact"/>
              <w:ind w:firstLine="4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其他：实验报告单、洗手液、毛巾、抹布、试管刷、去污粉、剪刀、中性笔等。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2.器材准备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3.仪器校正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4.核对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5.样品测定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6.结果判定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复方碘口服溶液的制备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器材：电子天平（0.01g）、药匙、称量纸（玻璃纸或硫酸纸）、烧杯（50ml或100ml、2个）、量杯（20ml或50ml、1个）、量筒（10ml或20ml、1个）、搅拌棒、酒精棉、镊子、干棉球、废物缸、废液缸、回收瓶等。</w:t>
            </w:r>
          </w:p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药品：碘、碘化钾、纯化水</w:t>
            </w:r>
          </w:p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2.药物称量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3.制剂配置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4.成品质量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樟脑醑的制备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器材：电子天平（0.01g）、称量纸、量杯（20ml或50ml、1个）、烧杯（50ml或100ml、1个）、量筒（20ml或50ml、1个）、药匙、搅拌棒、酒精棉、干棉球、镊子、漏斗、滤纸、废物缸、樟脑醑回收瓶、铁架台等。</w:t>
            </w:r>
          </w:p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药品：樟脑、医用乙醇等。</w:t>
            </w:r>
          </w:p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2.药物称量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3.器材的处理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4.樟脑的溶解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5.过滤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6.成品定量、回收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7.成品质量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胶囊填充板的使用</w:t>
            </w:r>
          </w:p>
        </w:tc>
        <w:tc>
          <w:tcPr>
            <w:tcW w:w="89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30分钟</w:t>
            </w: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1.科学作风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整套胶囊板（1号、100孔，包括：帽板、体板、中间板、排列板、压实板及刮粉板）1套、空心胶囊（1号）100粒以上、电子天平（0.0001g）1台、搪瓷盘1个、称量纸、医用手套1副、小刷子1个、烧杯（250ml）2个、干棉球、镊子、废物缸、回收盘等。</w:t>
            </w:r>
          </w:p>
          <w:p>
            <w:pPr>
              <w:spacing w:line="360" w:lineRule="auto"/>
              <w:ind w:firstLine="409" w:firstLineChars="19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内容物：中药颗粒</w:t>
            </w:r>
          </w:p>
          <w:p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2.实验准备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3.胶囊体的排列操作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4.内容物的填充操作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5.胶囊帽的排列操作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6.体帽套合操作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7.套合胶囊的粒数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8.装量差异检查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9.清场工作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10.书写报告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174" w:firstLineChars="8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11.操作时间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ind w:firstLine="174" w:firstLineChars="83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ascii="Times New Roman" w:hAnsi="Times New Roman" w:cs="Times New Roman"/>
          <w:szCs w:val="24"/>
        </w:rPr>
      </w:pPr>
    </w:p>
    <w:p>
      <w:pPr>
        <w:pStyle w:val="3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五、考试大纲编制说明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1.考试大纲编制原则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遵循专业基础知识和岗位核心能力相结合原则，选取典型专业技能项目，将专业知识融入技能操作，考查技能训练教学效果，考核学生职业岗位工作过程；兼顾中等职业学校药剂专业教学标准和技术新标准，选取通用知识与技能作为考核项目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2.考试大纲适用专业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本考试大纲适用于中等职业学校药剂专业。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3.教学内容及实施建议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（1）考纲对应教学内容，</w:t>
      </w:r>
      <w:r>
        <w:rPr>
          <w:rFonts w:hint="eastAsia"/>
          <w:szCs w:val="32"/>
        </w:rPr>
        <w:t>全面考核中等职业学校</w:t>
      </w:r>
      <w:r>
        <w:rPr>
          <w:rFonts w:ascii="Times New Roman" w:hAnsi="Times New Roman" w:cs="Times New Roman"/>
        </w:rPr>
        <w:t>药剂专业学生在中药相关基础、药物检测、药物制剂等方面的能力，考试范围及难易程度合理，适用于选拔技术技能人才。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（2）教学实施建议，本次给定</w:t>
      </w:r>
      <w:r>
        <w:rPr>
          <w:rFonts w:hint="eastAsia"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2024年考核项目是中等职业学校药剂专业教学内容的一部分，考核项目每年有一定变化；建议中等职业学校药剂专业依据本专业教学标准，合理匹配理论与实践教学，全面提升学生专业能力及综合素养。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4.技能考试过程</w:t>
      </w:r>
    </w:p>
    <w:p>
      <w:pPr>
        <w:ind w:firstLine="48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/>
        </w:rPr>
        <w:t>药剂专业</w:t>
      </w:r>
      <w:r>
        <w:rPr>
          <w:rFonts w:hint="eastAsia" w:ascii="Times New Roman" w:hAnsi="Times New Roman" w:cs="Times New Roman"/>
        </w:rPr>
        <w:t>技能</w:t>
      </w:r>
      <w:r>
        <w:rPr>
          <w:rFonts w:ascii="Times New Roman" w:hAnsi="Times New Roman" w:cs="Times New Roman"/>
        </w:rPr>
        <w:t>考试采取实操方式进行，时间为15至40分钟不等；依据不同技能考核项目综合考察学生易混中药的鉴定能力、常用中药的显微鉴定等中药相关基础技能，规范使用实验仪器或设备能力、正确记录实验内容及结果判定能力等药物检测技能，药物制剂技能和相关职业活动所需要的工作方法及学习能力等。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5.评价赋分形式</w:t>
      </w:r>
    </w:p>
    <w:p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药剂专业技能考核为过程性评价，同时注重实操结果，权重合理。</w:t>
      </w:r>
    </w:p>
    <w:p>
      <w:pPr>
        <w:ind w:firstLine="0" w:firstLineChars="0"/>
        <w:rPr>
          <w:rFonts w:ascii="Times New Roman" w:hAnsi="Times New Roman" w:eastAsia="黑体" w:cs="Times New Roman"/>
          <w:b/>
          <w:bCs/>
        </w:rPr>
      </w:pPr>
    </w:p>
    <w:p>
      <w:pPr>
        <w:ind w:firstLine="480"/>
        <w:rPr>
          <w:rFonts w:ascii="Times New Roman" w:hAnsi="Times New Roman" w:cs="Times New Roma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290ECB"/>
    <w:rsid w:val="0000485B"/>
    <w:rsid w:val="000276DB"/>
    <w:rsid w:val="00050E85"/>
    <w:rsid w:val="00061B0B"/>
    <w:rsid w:val="000B2C72"/>
    <w:rsid w:val="000C0F0F"/>
    <w:rsid w:val="000D5757"/>
    <w:rsid w:val="000E3344"/>
    <w:rsid w:val="000E4242"/>
    <w:rsid w:val="000E62FF"/>
    <w:rsid w:val="00116A26"/>
    <w:rsid w:val="00136A4E"/>
    <w:rsid w:val="001667ED"/>
    <w:rsid w:val="00173281"/>
    <w:rsid w:val="001842AF"/>
    <w:rsid w:val="001B0220"/>
    <w:rsid w:val="001B19E0"/>
    <w:rsid w:val="001B7941"/>
    <w:rsid w:val="00257DB6"/>
    <w:rsid w:val="00284A00"/>
    <w:rsid w:val="00290ECB"/>
    <w:rsid w:val="00293165"/>
    <w:rsid w:val="002A056A"/>
    <w:rsid w:val="002C27A3"/>
    <w:rsid w:val="002C710B"/>
    <w:rsid w:val="002D5AAD"/>
    <w:rsid w:val="002E3E6C"/>
    <w:rsid w:val="002E6412"/>
    <w:rsid w:val="002F3354"/>
    <w:rsid w:val="00306062"/>
    <w:rsid w:val="003079F3"/>
    <w:rsid w:val="003312E6"/>
    <w:rsid w:val="00337078"/>
    <w:rsid w:val="00345CC2"/>
    <w:rsid w:val="003621DD"/>
    <w:rsid w:val="003703AB"/>
    <w:rsid w:val="00396130"/>
    <w:rsid w:val="003B2B17"/>
    <w:rsid w:val="003B3EA0"/>
    <w:rsid w:val="003D466F"/>
    <w:rsid w:val="003D6EBE"/>
    <w:rsid w:val="003E3747"/>
    <w:rsid w:val="004142B8"/>
    <w:rsid w:val="00416DD4"/>
    <w:rsid w:val="00480AC1"/>
    <w:rsid w:val="004925E9"/>
    <w:rsid w:val="004E383D"/>
    <w:rsid w:val="00513D6D"/>
    <w:rsid w:val="00531407"/>
    <w:rsid w:val="00537E21"/>
    <w:rsid w:val="005B6F8E"/>
    <w:rsid w:val="005D1B4A"/>
    <w:rsid w:val="006251D7"/>
    <w:rsid w:val="00640308"/>
    <w:rsid w:val="006464E8"/>
    <w:rsid w:val="00652B96"/>
    <w:rsid w:val="0067313C"/>
    <w:rsid w:val="00692AFB"/>
    <w:rsid w:val="006A131E"/>
    <w:rsid w:val="006B000E"/>
    <w:rsid w:val="006B6033"/>
    <w:rsid w:val="006C27D0"/>
    <w:rsid w:val="006D63D3"/>
    <w:rsid w:val="00702FDF"/>
    <w:rsid w:val="0073154C"/>
    <w:rsid w:val="00732FCC"/>
    <w:rsid w:val="00741DBB"/>
    <w:rsid w:val="007446D0"/>
    <w:rsid w:val="00784CF5"/>
    <w:rsid w:val="007B1798"/>
    <w:rsid w:val="007C4E48"/>
    <w:rsid w:val="007E5087"/>
    <w:rsid w:val="0082443C"/>
    <w:rsid w:val="008437F5"/>
    <w:rsid w:val="0084451A"/>
    <w:rsid w:val="00847C4C"/>
    <w:rsid w:val="00855F75"/>
    <w:rsid w:val="0086429F"/>
    <w:rsid w:val="00866616"/>
    <w:rsid w:val="008A4A3E"/>
    <w:rsid w:val="008C2E12"/>
    <w:rsid w:val="008F4D52"/>
    <w:rsid w:val="00907AE6"/>
    <w:rsid w:val="009328E2"/>
    <w:rsid w:val="00933410"/>
    <w:rsid w:val="00956318"/>
    <w:rsid w:val="00973F40"/>
    <w:rsid w:val="00991200"/>
    <w:rsid w:val="00992890"/>
    <w:rsid w:val="009C33A2"/>
    <w:rsid w:val="009F2B3C"/>
    <w:rsid w:val="00A11872"/>
    <w:rsid w:val="00A204B9"/>
    <w:rsid w:val="00A3256E"/>
    <w:rsid w:val="00A3454A"/>
    <w:rsid w:val="00A43945"/>
    <w:rsid w:val="00A56423"/>
    <w:rsid w:val="00A83A41"/>
    <w:rsid w:val="00A959CA"/>
    <w:rsid w:val="00AA477F"/>
    <w:rsid w:val="00AD5A2C"/>
    <w:rsid w:val="00AE211C"/>
    <w:rsid w:val="00AF083B"/>
    <w:rsid w:val="00B00BA0"/>
    <w:rsid w:val="00B02D73"/>
    <w:rsid w:val="00B054BB"/>
    <w:rsid w:val="00B14374"/>
    <w:rsid w:val="00B14987"/>
    <w:rsid w:val="00B4788F"/>
    <w:rsid w:val="00B50CB7"/>
    <w:rsid w:val="00B54541"/>
    <w:rsid w:val="00B71BC9"/>
    <w:rsid w:val="00B7433E"/>
    <w:rsid w:val="00B81CB8"/>
    <w:rsid w:val="00BA209A"/>
    <w:rsid w:val="00BA28A6"/>
    <w:rsid w:val="00BA7D91"/>
    <w:rsid w:val="00BD7D26"/>
    <w:rsid w:val="00BE2224"/>
    <w:rsid w:val="00C32DB4"/>
    <w:rsid w:val="00C56E57"/>
    <w:rsid w:val="00C80728"/>
    <w:rsid w:val="00CC20BF"/>
    <w:rsid w:val="00CE6C56"/>
    <w:rsid w:val="00CF7F9B"/>
    <w:rsid w:val="00D00A81"/>
    <w:rsid w:val="00D31372"/>
    <w:rsid w:val="00D40C74"/>
    <w:rsid w:val="00D45DFC"/>
    <w:rsid w:val="00D46B7B"/>
    <w:rsid w:val="00D50F6D"/>
    <w:rsid w:val="00D655A6"/>
    <w:rsid w:val="00DA00F4"/>
    <w:rsid w:val="00DA5218"/>
    <w:rsid w:val="00DA5BEB"/>
    <w:rsid w:val="00DC0322"/>
    <w:rsid w:val="00DD4940"/>
    <w:rsid w:val="00E120E5"/>
    <w:rsid w:val="00E86883"/>
    <w:rsid w:val="00EB26C8"/>
    <w:rsid w:val="00EC5141"/>
    <w:rsid w:val="00EE230D"/>
    <w:rsid w:val="00EF38B4"/>
    <w:rsid w:val="00F24E8C"/>
    <w:rsid w:val="00F5116C"/>
    <w:rsid w:val="00F66596"/>
    <w:rsid w:val="00F91D2D"/>
    <w:rsid w:val="00FB0AD1"/>
    <w:rsid w:val="00FB7AF2"/>
    <w:rsid w:val="00FE5DDA"/>
    <w:rsid w:val="0110754C"/>
    <w:rsid w:val="038729A3"/>
    <w:rsid w:val="078132CC"/>
    <w:rsid w:val="09031560"/>
    <w:rsid w:val="09CB6A81"/>
    <w:rsid w:val="0FB11788"/>
    <w:rsid w:val="23E66539"/>
    <w:rsid w:val="26FC139B"/>
    <w:rsid w:val="2B0D1986"/>
    <w:rsid w:val="30CC2CED"/>
    <w:rsid w:val="4FDE06F6"/>
    <w:rsid w:val="51AE66EB"/>
    <w:rsid w:val="57503A67"/>
    <w:rsid w:val="5AB16D76"/>
    <w:rsid w:val="5D3173D4"/>
    <w:rsid w:val="6A8D4E3C"/>
    <w:rsid w:val="71E378B7"/>
    <w:rsid w:val="73DB1E6E"/>
    <w:rsid w:val="77CC03A7"/>
    <w:rsid w:val="795A7B4C"/>
    <w:rsid w:val="7D870F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00" w:after="300" w:line="576" w:lineRule="auto"/>
      <w:ind w:firstLine="562"/>
      <w:jc w:val="center"/>
      <w:outlineLvl w:val="0"/>
    </w:pPr>
    <w:rPr>
      <w:rFonts w:eastAsia="黑体"/>
      <w:b/>
      <w:kern w:val="44"/>
      <w:sz w:val="28"/>
      <w:szCs w:val="24"/>
    </w:rPr>
  </w:style>
  <w:style w:type="paragraph" w:styleId="3">
    <w:name w:val="heading 2"/>
    <w:basedOn w:val="1"/>
    <w:next w:val="1"/>
    <w:link w:val="14"/>
    <w:semiHidden/>
    <w:unhideWhenUsed/>
    <w:qFormat/>
    <w:uiPriority w:val="9"/>
    <w:pPr>
      <w:keepNext/>
      <w:keepLines/>
      <w:spacing w:line="416" w:lineRule="auto"/>
      <w:outlineLvl w:val="1"/>
    </w:pPr>
    <w:rPr>
      <w:rFonts w:asciiTheme="majorHAnsi" w:hAnsiTheme="majorHAnsi" w:cstheme="majorBidi"/>
      <w:b/>
      <w:bCs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qFormat/>
    <w:uiPriority w:val="0"/>
    <w:pPr>
      <w:ind w:firstLine="562"/>
      <w:jc w:val="left"/>
    </w:pPr>
    <w:rPr>
      <w:szCs w:val="24"/>
    </w:rPr>
  </w:style>
  <w:style w:type="paragraph" w:styleId="5">
    <w:name w:val="Body Text Indent"/>
    <w:basedOn w:val="1"/>
    <w:link w:val="20"/>
    <w:qFormat/>
    <w:uiPriority w:val="0"/>
    <w:pPr>
      <w:ind w:firstLine="556"/>
    </w:pPr>
    <w:rPr>
      <w:rFonts w:ascii="宋体" w:hAnsi="Times New Roman" w:cs="Times New Roman"/>
      <w:sz w:val="28"/>
      <w:szCs w:val="24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semiHidden/>
    <w:unhideWhenUsed/>
    <w:qFormat/>
    <w:uiPriority w:val="99"/>
    <w:pPr>
      <w:ind w:firstLine="0" w:firstLineChars="0"/>
    </w:pPr>
    <w:rPr>
      <w:b/>
      <w:bCs/>
      <w:sz w:val="21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character" w:customStyle="1" w:styleId="13">
    <w:name w:val="标题 1 Char"/>
    <w:basedOn w:val="11"/>
    <w:link w:val="2"/>
    <w:qFormat/>
    <w:uiPriority w:val="0"/>
    <w:rPr>
      <w:rFonts w:eastAsia="黑体"/>
      <w:b/>
      <w:kern w:val="44"/>
      <w:sz w:val="28"/>
      <w:szCs w:val="24"/>
    </w:rPr>
  </w:style>
  <w:style w:type="character" w:customStyle="1" w:styleId="14">
    <w:name w:val="标题 2 Char"/>
    <w:basedOn w:val="11"/>
    <w:link w:val="3"/>
    <w:semiHidden/>
    <w:qFormat/>
    <w:uiPriority w:val="9"/>
    <w:rPr>
      <w:rFonts w:eastAsia="宋体" w:asciiTheme="majorHAnsi" w:hAnsiTheme="majorHAnsi" w:cstheme="majorBidi"/>
      <w:b/>
      <w:bCs/>
      <w:sz w:val="24"/>
      <w:szCs w:val="32"/>
    </w:rPr>
  </w:style>
  <w:style w:type="character" w:customStyle="1" w:styleId="15">
    <w:name w:val="批注文字 Char"/>
    <w:basedOn w:val="11"/>
    <w:link w:val="4"/>
    <w:qFormat/>
    <w:uiPriority w:val="0"/>
    <w:rPr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/>
    </w:pPr>
    <w:rPr>
      <w:rFonts w:ascii="宋体" w:hAnsi="Times New Roman" w:cs="Times New Roman"/>
      <w:szCs w:val="21"/>
    </w:rPr>
  </w:style>
  <w:style w:type="character" w:customStyle="1" w:styleId="17">
    <w:name w:val="批注主题 Char"/>
    <w:basedOn w:val="15"/>
    <w:link w:val="8"/>
    <w:semiHidden/>
    <w:qFormat/>
    <w:uiPriority w:val="99"/>
    <w:rPr>
      <w:b/>
      <w:bCs/>
      <w:sz w:val="24"/>
      <w:szCs w:val="24"/>
    </w:rPr>
  </w:style>
  <w:style w:type="character" w:customStyle="1" w:styleId="18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9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20">
    <w:name w:val="正文文本缩进 Char"/>
    <w:basedOn w:val="11"/>
    <w:link w:val="5"/>
    <w:qFormat/>
    <w:uiPriority w:val="0"/>
    <w:rPr>
      <w:rFonts w:ascii="宋体" w:hAnsi="Times New Roman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F2294-A395-4F71-91C1-7ADAF43062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1020</Words>
  <Characters>5818</Characters>
  <Lines>48</Lines>
  <Paragraphs>13</Paragraphs>
  <TotalTime>7</TotalTime>
  <ScaleCrop>false</ScaleCrop>
  <LinksUpToDate>false</LinksUpToDate>
  <CharactersWithSpaces>6825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2023-11-21T14:52:00Z</dcterms:created>
  <dc:creator>子游 黄</dc:creator>
  <cp:lastModifiedBy>Echo</cp:lastModifiedBy>
  <cp:lastPrinted>2024-01-19T02:15:00Z</cp:lastPrinted>
  <dcterms:modified xsi:type="dcterms:W3CDTF">2024-03-05T01:53:49Z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5CC894E05F074A2692EA0DE3EDDE066E_13</vt:lpwstr>
  </property>
</Properties>
</file>