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2024年黑龙江省职业教育春季高考</w:t>
      </w:r>
    </w:p>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铁道交通运输类专业技能操作考试大纲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3.参照《《国家职业技能标准目录》（2019年修订）》（职业编码：4-05-02-02）的《铁路客运员（修订）》初、中级职业技能标准、（职业技能编码：4-05-02-01）列车值班员（修订）初、中级职业技能标准。</w:t>
      </w:r>
    </w:p>
    <w:p>
      <w:pPr>
        <w:ind w:firstLine="480"/>
        <w:rPr>
          <w:szCs w:val="32"/>
        </w:rPr>
      </w:pPr>
      <w:r>
        <w:rPr>
          <w:rFonts w:hint="eastAsia"/>
          <w:szCs w:val="32"/>
        </w:rPr>
        <w:t>4.参照《铁路旅客运输规程》（交通运输部令2022年第37号）。</w:t>
      </w:r>
    </w:p>
    <w:p>
      <w:pPr>
        <w:ind w:firstLine="480"/>
        <w:rPr>
          <w:szCs w:val="32"/>
        </w:rPr>
      </w:pPr>
      <w:r>
        <w:rPr>
          <w:rFonts w:hint="eastAsia"/>
          <w:szCs w:val="32"/>
        </w:rPr>
        <w:t>5.参照铁路特有工种技能培训规范《铁路客运员》等级证书各模块初级认证标准。</w:t>
      </w:r>
      <w:bookmarkStart w:id="0" w:name="_GoBack"/>
      <w:bookmarkEnd w:id="0"/>
    </w:p>
    <w:p>
      <w:pPr>
        <w:ind w:firstLine="480"/>
      </w:pPr>
      <w:r>
        <w:rPr>
          <w:rFonts w:hint="eastAsia"/>
        </w:rPr>
        <w:t>6.铁道交通运输类专业对口涵盖专业范围，如表1所示。</w:t>
      </w:r>
    </w:p>
    <w:p>
      <w:pPr>
        <w:ind w:firstLine="480"/>
        <w:jc w:val="center"/>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表1 铁道交通运输类专业对口涵盖专业范围</w:t>
      </w:r>
    </w:p>
    <w:tbl>
      <w:tblPr>
        <w:tblStyle w:val="9"/>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3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Borders>
              <w:top w:val="single" w:color="auto" w:sz="4" w:space="0"/>
              <w:left w:val="single" w:color="auto" w:sz="4" w:space="0"/>
            </w:tcBorders>
            <w:vAlign w:val="center"/>
          </w:tcPr>
          <w:p>
            <w:pPr>
              <w:widowControl/>
              <w:ind w:firstLine="422"/>
              <w:jc w:val="center"/>
              <w:rPr>
                <w:rFonts w:ascii="宋体" w:hAnsi="宋体" w:eastAsia="宋体" w:cs="宋体"/>
                <w:b/>
                <w:bCs/>
                <w:kern w:val="0"/>
                <w:sz w:val="21"/>
                <w:szCs w:val="21"/>
              </w:rPr>
            </w:pPr>
            <w:r>
              <w:rPr>
                <w:rFonts w:hint="eastAsia" w:ascii="宋体" w:hAnsi="宋体" w:eastAsia="宋体" w:cs="宋体"/>
                <w:b/>
                <w:bCs/>
                <w:kern w:val="0"/>
                <w:sz w:val="21"/>
                <w:szCs w:val="21"/>
              </w:rPr>
              <w:t>中等职业教育相关专业</w:t>
            </w:r>
          </w:p>
        </w:tc>
        <w:tc>
          <w:tcPr>
            <w:tcW w:w="2841" w:type="dxa"/>
            <w:tcBorders>
              <w:top w:val="single" w:color="auto" w:sz="4" w:space="0"/>
            </w:tcBorders>
            <w:vAlign w:val="center"/>
          </w:tcPr>
          <w:p>
            <w:pPr>
              <w:widowControl/>
              <w:ind w:firstLine="422"/>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接续高职专科相关专业</w:t>
            </w:r>
          </w:p>
        </w:tc>
        <w:tc>
          <w:tcPr>
            <w:tcW w:w="3861" w:type="dxa"/>
            <w:tcBorders>
              <w:top w:val="single" w:color="auto" w:sz="4" w:space="0"/>
              <w:right w:val="single" w:color="auto" w:sz="4" w:space="0"/>
            </w:tcBorders>
            <w:vAlign w:val="center"/>
          </w:tcPr>
          <w:p>
            <w:pPr>
              <w:widowControl/>
              <w:ind w:firstLine="422"/>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接续高职本科专业</w:t>
            </w:r>
          </w:p>
          <w:p>
            <w:pPr>
              <w:widowControl/>
              <w:ind w:firstLine="422"/>
              <w:jc w:val="center"/>
              <w:rPr>
                <w:rFonts w:ascii="宋体" w:hAnsi="宋体" w:eastAsia="宋体" w:cs="宋体"/>
                <w:b/>
                <w:bCs/>
                <w:kern w:val="0"/>
                <w:sz w:val="21"/>
                <w:szCs w:val="21"/>
              </w:rPr>
            </w:pPr>
            <w:r>
              <w:rPr>
                <w:rFonts w:hint="eastAsia" w:ascii="宋体" w:hAnsi="宋体" w:eastAsia="宋体" w:cs="宋体"/>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40" w:type="dxa"/>
            <w:tcBorders>
              <w:left w:val="single" w:color="auto" w:sz="4" w:space="0"/>
              <w:bottom w:val="single" w:color="auto" w:sz="4" w:space="0"/>
            </w:tcBorders>
          </w:tcPr>
          <w:p>
            <w:pPr>
              <w:widowControl/>
              <w:ind w:firstLine="420"/>
              <w:jc w:val="left"/>
              <w:rPr>
                <w:rFonts w:ascii="微软雅黑" w:hAnsi="微软雅黑" w:eastAsia="微软雅黑" w:cs="微软雅黑"/>
                <w:sz w:val="21"/>
                <w:szCs w:val="21"/>
              </w:rPr>
            </w:pPr>
            <w:r>
              <w:rPr>
                <w:rFonts w:ascii="微软雅黑" w:hAnsi="微软雅黑" w:eastAsia="微软雅黑" w:cs="微软雅黑"/>
                <w:sz w:val="21"/>
                <w:szCs w:val="21"/>
              </w:rPr>
              <w:t>铁道运输服务700107</w:t>
            </w:r>
          </w:p>
          <w:p>
            <w:pPr>
              <w:widowControl/>
              <w:ind w:firstLine="420"/>
              <w:jc w:val="left"/>
              <w:rPr>
                <w:rFonts w:ascii="微软雅黑" w:hAnsi="微软雅黑" w:eastAsia="微软雅黑" w:cs="微软雅黑"/>
                <w:sz w:val="21"/>
                <w:szCs w:val="21"/>
              </w:rPr>
            </w:pPr>
            <w:r>
              <w:rPr>
                <w:rFonts w:ascii="微软雅黑" w:hAnsi="微软雅黑" w:eastAsia="微软雅黑" w:cs="微软雅黑"/>
                <w:sz w:val="21"/>
                <w:szCs w:val="21"/>
              </w:rPr>
              <w:t>高速铁路乘务700108</w:t>
            </w:r>
            <w:r>
              <w:rPr>
                <w:rFonts w:ascii="微软雅黑" w:hAnsi="微软雅黑" w:eastAsia="微软雅黑" w:cs="微软雅黑"/>
                <w:sz w:val="21"/>
                <w:szCs w:val="21"/>
              </w:rPr>
              <w:tab/>
            </w:r>
          </w:p>
        </w:tc>
        <w:tc>
          <w:tcPr>
            <w:tcW w:w="2841" w:type="dxa"/>
            <w:tcBorders>
              <w:bottom w:val="single" w:color="auto" w:sz="4" w:space="0"/>
            </w:tcBorders>
          </w:tcPr>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铁道交通运营管理600108</w:t>
            </w:r>
          </w:p>
          <w:p>
            <w:pPr>
              <w:widowControl/>
              <w:ind w:firstLine="0" w:firstLineChars="0"/>
              <w:jc w:val="left"/>
              <w:rPr>
                <w:rFonts w:ascii="微软雅黑" w:hAnsi="微软雅黑" w:eastAsia="微软雅黑" w:cs="微软雅黑"/>
                <w:sz w:val="21"/>
                <w:szCs w:val="21"/>
              </w:rPr>
            </w:pPr>
          </w:p>
        </w:tc>
        <w:tc>
          <w:tcPr>
            <w:tcW w:w="3861" w:type="dxa"/>
            <w:tcBorders>
              <w:bottom w:val="single" w:color="auto" w:sz="4" w:space="0"/>
              <w:right w:val="single" w:color="auto" w:sz="4" w:space="0"/>
            </w:tcBorders>
          </w:tcPr>
          <w:p>
            <w:pPr>
              <w:widowControl/>
              <w:ind w:firstLine="0" w:firstLineChars="0"/>
              <w:jc w:val="left"/>
              <w:rPr>
                <w:rFonts w:ascii="微软雅黑" w:hAnsi="微软雅黑" w:eastAsia="微软雅黑" w:cs="微软雅黑"/>
                <w:sz w:val="21"/>
                <w:szCs w:val="21"/>
              </w:rPr>
            </w:pPr>
            <w:r>
              <w:rPr>
                <w:rFonts w:ascii="微软雅黑" w:hAnsi="微软雅黑" w:eastAsia="微软雅黑" w:cs="微软雅黑"/>
                <w:sz w:val="21"/>
                <w:szCs w:val="21"/>
              </w:rPr>
              <w:t>高速铁路运营管理300105</w:t>
            </w:r>
          </w:p>
          <w:p>
            <w:pPr>
              <w:widowControl/>
              <w:ind w:firstLine="0" w:firstLineChars="0"/>
              <w:jc w:val="left"/>
              <w:rPr>
                <w:rFonts w:ascii="微软雅黑" w:hAnsi="微软雅黑" w:eastAsia="微软雅黑" w:cs="微软雅黑"/>
                <w:sz w:val="21"/>
                <w:szCs w:val="21"/>
              </w:rPr>
            </w:pPr>
          </w:p>
        </w:tc>
      </w:tr>
    </w:tbl>
    <w:p>
      <w:pPr>
        <w:spacing w:line="67" w:lineRule="exact"/>
        <w:ind w:firstLine="480"/>
        <w:rPr>
          <w:color w:val="0000FF"/>
          <w:highlight w:val="red"/>
        </w:rPr>
      </w:pPr>
    </w:p>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二、考试方式</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2024年黑龙江省职业教育春季高考铁道交通运输类专业技能考试为实际操作考试方式，考试总分为200分，考试时间为15分钟。</w:t>
      </w:r>
    </w:p>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三、考试范围和要求</w:t>
      </w:r>
    </w:p>
    <w:p>
      <w:pPr>
        <w:ind w:firstLine="560"/>
        <w:rPr>
          <w:szCs w:val="32"/>
        </w:rPr>
      </w:pPr>
      <w:r>
        <w:rPr>
          <w:rFonts w:hint="eastAsia" w:asciiTheme="minorEastAsia" w:hAnsiTheme="minorEastAsia" w:cstheme="minorEastAsia"/>
          <w:sz w:val="28"/>
          <w:szCs w:val="28"/>
        </w:rPr>
        <w:t>以中等职业教育毕业生从业基本能力为立足点，实现技能考试内容与中职毕业生从业技能的需要相互兼容，充分融合专业知识和技能操作的职业技能要素，实操考核以铁道交通客运服务基本礼仪和语音播报为主。</w:t>
      </w:r>
      <w:r>
        <w:rPr>
          <w:rFonts w:hint="eastAsia"/>
          <w:b/>
          <w:bCs/>
          <w:color w:val="0000FF"/>
          <w:szCs w:val="32"/>
        </w:rPr>
        <w:br w:type="page"/>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1.技术技能要求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（1）能根据客运服务岗位中的仪容仪表规范要求，做到衣着得体、妆容淡雅，微笑、目光、 表情等仪态动作标准。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（2）能按照服务礼仪行为动作规范要求，做到站、坐、行、蹲、手势、鞠躬等基本行为动作标准。 服务礼仪动作标准，按照铁路客运员特有工种技能培训规范《铁路客运员》指定的要求，按照中等职业技术学校平时授课标准执行。考核用普通标准领带150*8*3.8mm，普通标准丝巾尺寸60*60mm。</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（3）能使用标准服务用语，完成语音播报等服务，语音播报题抽签，四选一，题签内容选自一线铁路客运员标准播音稿，不能提前透题，2分钟准备时间，1分钟播报时间。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2.设备及用品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（1）座椅、麦克、制服、领带、丝巾等。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（2）文件夹、A4纸、笔等。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（3）服务礼仪考核其他辅助设备、器材等。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（4）25T模拟车厢。</w:t>
      </w:r>
    </w:p>
    <w:p>
      <w:pPr>
        <w:tabs>
          <w:tab w:val="left" w:pos="392"/>
        </w:tabs>
        <w:ind w:firstLine="560"/>
        <w:rPr>
          <w:sz w:val="28"/>
          <w:szCs w:val="36"/>
        </w:rPr>
      </w:pPr>
      <w:r>
        <w:rPr>
          <w:rFonts w:hint="eastAsia"/>
          <w:sz w:val="28"/>
          <w:szCs w:val="36"/>
        </w:rPr>
        <w:t xml:space="preserve">3.操作规范要求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（1）遵守服务礼仪规范要求，主动热情服务，进行有效沟通。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（2）能根据具体工作场景，综合运用服务礼仪，展现优雅、文明的仪态。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（3）考试结束后及时将设备及用品复位，保证场地整洁。</w:t>
      </w: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tabs>
          <w:tab w:val="left" w:pos="451"/>
        </w:tabs>
        <w:ind w:firstLine="482"/>
        <w:rPr>
          <w:rFonts w:ascii="宋体" w:hAnsi="宋体" w:eastAsia="宋体" w:cs="宋体"/>
          <w:b/>
          <w:bCs/>
          <w:szCs w:val="32"/>
        </w:rPr>
      </w:pPr>
    </w:p>
    <w:p>
      <w:pPr>
        <w:spacing w:line="440" w:lineRule="exact"/>
        <w:ind w:firstLine="560"/>
        <w:rPr>
          <w:rFonts w:asciiTheme="minorEastAsia" w:hAnsiTheme="minorEastAsia" w:cstheme="minorEastAsia"/>
          <w:sz w:val="28"/>
          <w:szCs w:val="28"/>
        </w:rPr>
      </w:pPr>
    </w:p>
    <w:p>
      <w:pPr>
        <w:spacing w:before="18"/>
        <w:ind w:firstLine="2891" w:firstLineChars="1200"/>
        <w:rPr>
          <w:b/>
          <w:bCs/>
        </w:rPr>
      </w:pPr>
      <w:r>
        <w:rPr>
          <w:rFonts w:hint="eastAsia"/>
          <w:b/>
          <w:bCs/>
        </w:rPr>
        <w:t>表2  职业技能实操考核要点</w:t>
      </w:r>
    </w:p>
    <w:tbl>
      <w:tblPr>
        <w:tblStyle w:val="13"/>
        <w:tblW w:w="501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31"/>
        <w:gridCol w:w="2530"/>
        <w:gridCol w:w="4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175" w:type="pct"/>
            <w:vAlign w:val="center"/>
          </w:tcPr>
          <w:p>
            <w:pPr>
              <w:spacing w:before="67" w:line="219" w:lineRule="auto"/>
              <w:ind w:firstLine="414"/>
              <w:jc w:val="center"/>
              <w:rPr>
                <w:rFonts w:asciiTheme="minorEastAsia" w:hAnsiTheme="minorEastAsia" w:cstheme="minorEastAsia"/>
                <w:b/>
                <w:bCs/>
                <w:sz w:val="21"/>
                <w:szCs w:val="21"/>
              </w:rPr>
            </w:pPr>
            <w:r>
              <w:rPr>
                <w:rFonts w:hint="eastAsia" w:asciiTheme="minorEastAsia" w:hAnsiTheme="minorEastAsia" w:cstheme="minorEastAsia"/>
                <w:b/>
                <w:bCs/>
                <w:spacing w:val="-2"/>
                <w:sz w:val="21"/>
                <w:szCs w:val="21"/>
              </w:rPr>
              <w:t>工作领域</w:t>
            </w:r>
          </w:p>
        </w:tc>
        <w:tc>
          <w:tcPr>
            <w:tcW w:w="1395" w:type="pct"/>
            <w:vAlign w:val="center"/>
          </w:tcPr>
          <w:p>
            <w:pPr>
              <w:spacing w:before="68" w:line="218" w:lineRule="auto"/>
              <w:ind w:firstLine="414"/>
              <w:jc w:val="center"/>
              <w:rPr>
                <w:rFonts w:asciiTheme="minorEastAsia" w:hAnsiTheme="minorEastAsia" w:cstheme="minorEastAsia"/>
                <w:b/>
                <w:bCs/>
                <w:sz w:val="21"/>
                <w:szCs w:val="21"/>
              </w:rPr>
            </w:pPr>
            <w:r>
              <w:rPr>
                <w:rFonts w:hint="eastAsia" w:asciiTheme="minorEastAsia" w:hAnsiTheme="minorEastAsia" w:cstheme="minorEastAsia"/>
                <w:b/>
                <w:bCs/>
                <w:spacing w:val="-2"/>
                <w:sz w:val="21"/>
                <w:szCs w:val="21"/>
              </w:rPr>
              <w:t>工作任务</w:t>
            </w:r>
          </w:p>
        </w:tc>
        <w:tc>
          <w:tcPr>
            <w:tcW w:w="2429" w:type="pct"/>
            <w:tcBorders>
              <w:right w:val="single" w:color="000000" w:sz="2" w:space="0"/>
            </w:tcBorders>
            <w:vAlign w:val="center"/>
          </w:tcPr>
          <w:p>
            <w:pPr>
              <w:spacing w:before="67" w:line="220" w:lineRule="auto"/>
              <w:ind w:firstLine="414"/>
              <w:jc w:val="center"/>
              <w:rPr>
                <w:rFonts w:asciiTheme="minorEastAsia" w:hAnsiTheme="minorEastAsia" w:cstheme="minorEastAsia"/>
                <w:b/>
                <w:bCs/>
                <w:sz w:val="21"/>
                <w:szCs w:val="21"/>
              </w:rPr>
            </w:pPr>
            <w:r>
              <w:rPr>
                <w:rFonts w:hint="eastAsia" w:asciiTheme="minorEastAsia" w:hAnsiTheme="minorEastAsia" w:cstheme="minorEastAsia"/>
                <w:b/>
                <w:bCs/>
                <w:spacing w:val="-2"/>
                <w:sz w:val="21"/>
                <w:szCs w:val="21"/>
              </w:rPr>
              <w:t>考核要点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restart"/>
            <w:vAlign w:val="center"/>
          </w:tcPr>
          <w:p>
            <w:pPr>
              <w:pStyle w:val="16"/>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spacing w:val="-3"/>
                <w:lang w:eastAsia="zh-CN"/>
              </w:rPr>
              <w:t>1.</w:t>
            </w:r>
            <w:r>
              <w:rPr>
                <w:rFonts w:hint="eastAsia" w:asciiTheme="minorEastAsia" w:hAnsiTheme="minorEastAsia" w:eastAsiaTheme="minorEastAsia" w:cstheme="minorEastAsia"/>
                <w:lang w:eastAsia="zh-CN"/>
              </w:rPr>
              <w:t>服务礼仪基础知识</w:t>
            </w:r>
          </w:p>
        </w:tc>
        <w:tc>
          <w:tcPr>
            <w:tcW w:w="1395" w:type="pct"/>
            <w:vAlign w:val="center"/>
          </w:tcPr>
          <w:p>
            <w:pPr>
              <w:spacing w:before="63" w:line="271" w:lineRule="auto"/>
              <w:ind w:right="101" w:firstLine="0" w:firstLineChars="0"/>
              <w:jc w:val="center"/>
              <w:rPr>
                <w:rFonts w:asciiTheme="minorEastAsia" w:hAnsiTheme="minorEastAsia" w:cstheme="minorEastAsia"/>
                <w:sz w:val="21"/>
                <w:szCs w:val="21"/>
              </w:rPr>
            </w:pPr>
            <w:r>
              <w:rPr>
                <w:rFonts w:hint="eastAsia" w:asciiTheme="minorEastAsia" w:hAnsiTheme="minorEastAsia" w:cstheme="minorEastAsia"/>
                <w:spacing w:val="-2"/>
                <w:sz w:val="21"/>
                <w:szCs w:val="21"/>
              </w:rPr>
              <w:t>1.1</w:t>
            </w:r>
            <w:r>
              <w:rPr>
                <w:rFonts w:hint="eastAsia" w:asciiTheme="minorEastAsia" w:hAnsiTheme="minorEastAsia" w:cstheme="minorEastAsia"/>
                <w:spacing w:val="-1"/>
                <w:sz w:val="21"/>
                <w:szCs w:val="21"/>
              </w:rPr>
              <w:t>仪表礼仪</w:t>
            </w:r>
          </w:p>
        </w:tc>
        <w:tc>
          <w:tcPr>
            <w:tcW w:w="2429" w:type="pct"/>
            <w:tcBorders>
              <w:right w:val="single" w:color="000000" w:sz="2" w:space="0"/>
            </w:tcBorders>
            <w:vAlign w:val="center"/>
          </w:tcPr>
          <w:p>
            <w:pPr>
              <w:spacing w:line="219" w:lineRule="auto"/>
              <w:ind w:firstLine="0" w:firstLineChars="0"/>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1.1.1能够掌握铁道交通客运服务人员着装规范，能按照规范穿着制服。</w:t>
            </w:r>
          </w:p>
          <w:p>
            <w:pPr>
              <w:spacing w:line="219" w:lineRule="auto"/>
              <w:ind w:firstLine="0" w:firstLineChars="0"/>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1.1.2能够按照铁道交通客运服务人员配饰规范，正确合理选配饰品。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6"/>
              <w:ind w:firstLine="420"/>
              <w:rPr>
                <w:rFonts w:asciiTheme="minorEastAsia" w:hAnsiTheme="minorEastAsia" w:eastAsiaTheme="minorEastAsia" w:cstheme="minorEastAsia"/>
                <w:lang w:eastAsia="zh-CN"/>
              </w:rPr>
            </w:pPr>
          </w:p>
        </w:tc>
        <w:tc>
          <w:tcPr>
            <w:tcW w:w="1395" w:type="pct"/>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2"/>
                <w:sz w:val="21"/>
                <w:szCs w:val="21"/>
              </w:rPr>
              <w:t>1.2</w:t>
            </w:r>
            <w:r>
              <w:rPr>
                <w:rFonts w:hint="eastAsia" w:asciiTheme="minorEastAsia" w:hAnsiTheme="minorEastAsia" w:cstheme="minorEastAsia"/>
                <w:sz w:val="21"/>
                <w:szCs w:val="21"/>
              </w:rPr>
              <w:t>站姿礼仪</w:t>
            </w:r>
          </w:p>
        </w:tc>
        <w:tc>
          <w:tcPr>
            <w:tcW w:w="2429" w:type="pct"/>
            <w:tcBorders>
              <w:right w:val="single" w:color="000000" w:sz="2" w:space="0"/>
            </w:tcBorders>
            <w:vAlign w:val="center"/>
          </w:tcPr>
          <w:p>
            <w:pPr>
              <w:spacing w:before="71" w:line="220" w:lineRule="auto"/>
              <w:ind w:firstLine="0" w:firstLineChars="0"/>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1.2.1能够按照服务场景结合自身性别使用正确的站姿服务乘客。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6"/>
              <w:ind w:firstLine="420"/>
              <w:rPr>
                <w:rFonts w:asciiTheme="minorEastAsia" w:hAnsiTheme="minorEastAsia" w:eastAsiaTheme="minorEastAsia" w:cstheme="minorEastAsia"/>
                <w:lang w:eastAsia="zh-CN"/>
              </w:rPr>
            </w:pPr>
          </w:p>
        </w:tc>
        <w:tc>
          <w:tcPr>
            <w:tcW w:w="1395" w:type="pc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1.3坐姿礼仪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1.3.1能够掌握铁道交通客运服务人员不同坐姿姿态。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6"/>
              <w:ind w:firstLine="420"/>
              <w:rPr>
                <w:rFonts w:asciiTheme="minorEastAsia" w:hAnsiTheme="minorEastAsia" w:eastAsiaTheme="minorEastAsia" w:cstheme="minorEastAsia"/>
                <w:lang w:eastAsia="zh-CN"/>
              </w:rPr>
            </w:pPr>
          </w:p>
        </w:tc>
        <w:tc>
          <w:tcPr>
            <w:tcW w:w="1395" w:type="pc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1.4行姿礼仪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pacing w:val="-1"/>
                <w:position w:val="9"/>
                <w:sz w:val="21"/>
                <w:szCs w:val="21"/>
              </w:rPr>
            </w:pPr>
            <w:r>
              <w:rPr>
                <w:rFonts w:hint="eastAsia" w:asciiTheme="minorEastAsia" w:hAnsiTheme="minorEastAsia" w:cstheme="minorEastAsia"/>
                <w:sz w:val="21"/>
                <w:szCs w:val="21"/>
              </w:rPr>
              <w:t>1.4.1能够在巡视车站、服务乘客时，根据场景正确规范行姿。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6"/>
              <w:ind w:firstLine="420"/>
              <w:rPr>
                <w:rFonts w:asciiTheme="minorEastAsia" w:hAnsiTheme="minorEastAsia" w:eastAsiaTheme="minorEastAsia" w:cstheme="minorEastAsia"/>
                <w:lang w:eastAsia="zh-CN"/>
              </w:rPr>
            </w:pPr>
          </w:p>
        </w:tc>
        <w:tc>
          <w:tcPr>
            <w:tcW w:w="1395" w:type="pc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1.5蹲姿礼仪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1.5.1能够掌握蹲姿的使用场景。</w:t>
            </w:r>
          </w:p>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1.5.2能够结合自身性别正确合理使用蹲姿。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Borders>
              <w:bottom w:val="single" w:color="auto" w:sz="4" w:space="0"/>
            </w:tcBorders>
          </w:tcPr>
          <w:p>
            <w:pPr>
              <w:pStyle w:val="16"/>
              <w:ind w:firstLine="420"/>
              <w:rPr>
                <w:rFonts w:asciiTheme="minorEastAsia" w:hAnsiTheme="minorEastAsia" w:eastAsiaTheme="minorEastAsia" w:cstheme="minorEastAsia"/>
                <w:lang w:eastAsia="zh-CN"/>
              </w:rPr>
            </w:pPr>
          </w:p>
        </w:tc>
        <w:tc>
          <w:tcPr>
            <w:tcW w:w="1395" w:type="pct"/>
            <w:tcBorders>
              <w:bottom w:val="single" w:color="auto" w:sz="4" w:space="0"/>
            </w:tcBorders>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1.6鞠躬礼仪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1.6.1能够结合服务场景使用不同鞠躬礼仪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restart"/>
            <w:tcBorders>
              <w:top w:val="single" w:color="auto" w:sz="4" w:space="0"/>
              <w:left w:val="single" w:color="auto" w:sz="4" w:space="0"/>
              <w:bottom w:val="nil"/>
            </w:tcBorders>
            <w:vAlign w:val="center"/>
          </w:tcPr>
          <w:p>
            <w:pPr>
              <w:spacing w:before="59" w:line="220"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2. 旅客列车信息播报</w:t>
            </w:r>
          </w:p>
        </w:tc>
        <w:tc>
          <w:tcPr>
            <w:tcW w:w="1395" w:type="pct"/>
            <w:tcBorders>
              <w:top w:val="single" w:color="auto" w:sz="4" w:space="0"/>
              <w:right w:val="single" w:color="auto" w:sz="4" w:space="0"/>
            </w:tcBorders>
            <w:vAlign w:val="center"/>
          </w:tcPr>
          <w:p>
            <w:pPr>
              <w:spacing w:before="223"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2.1 常规播报</w:t>
            </w:r>
          </w:p>
        </w:tc>
        <w:tc>
          <w:tcPr>
            <w:tcW w:w="2429" w:type="pct"/>
            <w:tcBorders>
              <w:left w:val="single" w:color="auto" w:sz="4" w:space="0"/>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2.1.1能够熟练播报铁道交通客运服务常用词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Borders>
              <w:top w:val="nil"/>
              <w:left w:val="single" w:color="auto" w:sz="4" w:space="0"/>
              <w:bottom w:val="single" w:color="auto" w:sz="4" w:space="0"/>
            </w:tcBorders>
          </w:tcPr>
          <w:p>
            <w:pPr>
              <w:pStyle w:val="16"/>
              <w:ind w:firstLine="420"/>
              <w:rPr>
                <w:rFonts w:asciiTheme="minorEastAsia" w:hAnsiTheme="minorEastAsia" w:eastAsiaTheme="minorEastAsia" w:cstheme="minorEastAsia"/>
                <w:lang w:eastAsia="zh-CN"/>
              </w:rPr>
            </w:pPr>
          </w:p>
        </w:tc>
        <w:tc>
          <w:tcPr>
            <w:tcW w:w="1395" w:type="pct"/>
            <w:tcBorders>
              <w:bottom w:val="single" w:color="auto" w:sz="4" w:space="0"/>
              <w:right w:val="single" w:color="auto" w:sz="4" w:space="0"/>
            </w:tcBorders>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2.2紧急播报</w:t>
            </w:r>
          </w:p>
        </w:tc>
        <w:tc>
          <w:tcPr>
            <w:tcW w:w="2429" w:type="pct"/>
            <w:tcBorders>
              <w:left w:val="single" w:color="auto" w:sz="4" w:space="0"/>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2.2.1能够熟练播报铁道交通客运服务紧急词</w:t>
            </w:r>
          </w:p>
        </w:tc>
      </w:tr>
    </w:tbl>
    <w:p>
      <w:pPr>
        <w:pStyle w:val="3"/>
        <w:ind w:firstLine="482"/>
        <w:rPr>
          <w:rFonts w:hint="default"/>
        </w:rPr>
      </w:pPr>
    </w:p>
    <w:p>
      <w:pPr>
        <w:pStyle w:val="3"/>
        <w:ind w:firstLine="482"/>
        <w:rPr>
          <w:rFonts w:hint="default"/>
        </w:rPr>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pStyle w:val="3"/>
        <w:ind w:firstLine="482"/>
        <w:rPr>
          <w:rFonts w:hint="default"/>
        </w:rPr>
      </w:pPr>
    </w:p>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四、考核项目及权重</w:t>
      </w:r>
    </w:p>
    <w:p>
      <w:pPr>
        <w:ind w:firstLine="560"/>
        <w:rPr>
          <w:sz w:val="28"/>
          <w:szCs w:val="28"/>
        </w:rPr>
      </w:pPr>
      <w:r>
        <w:rPr>
          <w:rFonts w:hint="eastAsia"/>
          <w:sz w:val="28"/>
          <w:szCs w:val="28"/>
        </w:rPr>
        <w:t>结合考试范围给定2024年考核项目及权重，如表3所示。</w:t>
      </w:r>
    </w:p>
    <w:p>
      <w:pPr>
        <w:ind w:firstLine="480"/>
        <w:jc w:val="center"/>
        <w:rPr>
          <w:szCs w:val="32"/>
        </w:rPr>
      </w:pPr>
      <w:r>
        <w:rPr>
          <w:rFonts w:hint="eastAsia" w:ascii="黑体" w:hAnsi="黑体" w:eastAsia="黑体" w:cs="黑体"/>
          <w:szCs w:val="32"/>
        </w:rPr>
        <w:t>表3  2024年考核项目及权重</w:t>
      </w:r>
    </w:p>
    <w:tbl>
      <w:tblPr>
        <w:tblStyle w:val="8"/>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103"/>
        <w:gridCol w:w="4813"/>
        <w:gridCol w:w="475"/>
        <w:gridCol w:w="588"/>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03"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4813"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06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1442"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铁路</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旅客</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运输</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服务</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礼仪</w:t>
            </w:r>
          </w:p>
          <w:p>
            <w:pPr>
              <w:spacing w:line="360" w:lineRule="exact"/>
              <w:ind w:firstLine="0" w:firstLineChars="0"/>
              <w:jc w:val="center"/>
              <w:rPr>
                <w:rFonts w:ascii="宋体" w:hAnsi="宋体" w:cs="华文仿宋"/>
                <w:sz w:val="21"/>
                <w:szCs w:val="21"/>
              </w:rPr>
            </w:pPr>
          </w:p>
          <w:p>
            <w:pPr>
              <w:ind w:firstLine="420"/>
              <w:jc w:val="center"/>
              <w:rPr>
                <w:rFonts w:ascii="宋体" w:hAnsi="宋体" w:cs="华文仿宋"/>
                <w:color w:val="0000FF"/>
                <w:sz w:val="21"/>
                <w:szCs w:val="21"/>
              </w:rPr>
            </w:pPr>
          </w:p>
          <w:p>
            <w:pPr>
              <w:ind w:firstLine="420"/>
              <w:jc w:val="center"/>
              <w:rPr>
                <w:rFonts w:ascii="宋体" w:hAnsi="宋体" w:cs="华文仿宋"/>
                <w:color w:val="0000FF"/>
                <w:sz w:val="21"/>
                <w:szCs w:val="21"/>
              </w:rPr>
            </w:pPr>
          </w:p>
        </w:tc>
        <w:tc>
          <w:tcPr>
            <w:tcW w:w="1103" w:type="dxa"/>
            <w:vMerge w:val="restart"/>
            <w:noWrap/>
            <w:vAlign w:val="center"/>
          </w:tcPr>
          <w:p>
            <w:pPr>
              <w:spacing w:before="63" w:line="271" w:lineRule="auto"/>
              <w:ind w:right="101" w:firstLine="0" w:firstLineChars="0"/>
              <w:jc w:val="center"/>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仪表</w:t>
            </w:r>
          </w:p>
          <w:p>
            <w:pPr>
              <w:spacing w:before="63" w:line="271" w:lineRule="auto"/>
              <w:ind w:right="101" w:firstLine="0" w:firstLineChars="0"/>
              <w:jc w:val="center"/>
              <w:rPr>
                <w:rFonts w:ascii="宋体" w:hAnsi="宋体" w:cs="华文仿宋"/>
                <w:sz w:val="21"/>
                <w:szCs w:val="21"/>
              </w:rPr>
            </w:pPr>
            <w:r>
              <w:rPr>
                <w:rFonts w:hint="eastAsia" w:asciiTheme="minorEastAsia" w:hAnsiTheme="minorEastAsia" w:cstheme="minorEastAsia"/>
                <w:spacing w:val="-1"/>
                <w:sz w:val="21"/>
                <w:szCs w:val="21"/>
              </w:rPr>
              <w:t>礼仪</w:t>
            </w: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男生：独立完成温莎结领带系法；整理自身整体形象</w:t>
            </w:r>
          </w:p>
        </w:tc>
        <w:tc>
          <w:tcPr>
            <w:tcW w:w="475" w:type="dxa"/>
            <w:vMerge w:val="restart"/>
            <w:noWrap/>
            <w:vAlign w:val="center"/>
          </w:tcPr>
          <w:p>
            <w:pPr>
              <w:spacing w:before="67" w:line="219"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30</w:t>
            </w:r>
          </w:p>
        </w:tc>
        <w:tc>
          <w:tcPr>
            <w:tcW w:w="588" w:type="dxa"/>
            <w:vMerge w:val="restart"/>
            <w:noWrap/>
            <w:vAlign w:val="center"/>
          </w:tcPr>
          <w:p>
            <w:pPr>
              <w:ind w:firstLine="0" w:firstLineChars="0"/>
              <w:jc w:val="center"/>
              <w:rPr>
                <w:rFonts w:ascii="宋体" w:hAnsi="宋体" w:eastAsia="宋体" w:cs="宋体"/>
                <w:sz w:val="21"/>
                <w:szCs w:val="21"/>
              </w:rPr>
            </w:pPr>
            <w:r>
              <w:rPr>
                <w:rFonts w:hint="eastAsia" w:ascii="宋体" w:hAnsi="宋体" w:eastAsia="宋体" w:cs="华文仿宋"/>
                <w:sz w:val="21"/>
                <w:szCs w:val="21"/>
              </w:rPr>
              <w:t>200</w:t>
            </w: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Theme="minorEastAsia" w:hAnsiTheme="minorEastAsia" w:cstheme="minorEastAsia"/>
                <w:spacing w:val="-2"/>
                <w:sz w:val="21"/>
                <w:szCs w:val="21"/>
              </w:rPr>
              <w:t>3分钟内完</w:t>
            </w:r>
            <w:r>
              <w:rPr>
                <w:rFonts w:hint="eastAsia" w:asciiTheme="minorEastAsia" w:hAnsiTheme="minorEastAsia" w:cstheme="minorEastAsia"/>
                <w:sz w:val="21"/>
                <w:szCs w:val="21"/>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before="67" w:line="219" w:lineRule="auto"/>
              <w:ind w:firstLine="420"/>
              <w:jc w:val="center"/>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女生：独立完成指定丝巾系法，整理自身整体形象</w:t>
            </w:r>
          </w:p>
        </w:tc>
        <w:tc>
          <w:tcPr>
            <w:tcW w:w="475" w:type="dxa"/>
            <w:vMerge w:val="continue"/>
            <w:noWrap/>
            <w:vAlign w:val="center"/>
          </w:tcPr>
          <w:p>
            <w:pPr>
              <w:spacing w:before="67" w:line="219" w:lineRule="auto"/>
              <w:ind w:firstLine="0" w:firstLineChars="0"/>
              <w:jc w:val="center"/>
              <w:rPr>
                <w:rFonts w:ascii="宋体" w:hAnsi="宋体" w:cs="华文仿宋"/>
                <w:sz w:val="21"/>
                <w:szCs w:val="21"/>
              </w:rPr>
            </w:pP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restart"/>
            <w:noWrap/>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站姿</w:t>
            </w:r>
          </w:p>
          <w:p>
            <w:pPr>
              <w:spacing w:before="70" w:line="220"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礼仪</w:t>
            </w: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根据性别独立完成日常立岗时站姿动作</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ascii="宋体" w:hAnsi="宋体" w:cs="华文仿宋"/>
                <w:sz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Theme="minorEastAsia" w:hAnsiTheme="minorEastAsia" w:cstheme="minorEastAsia"/>
                <w:spacing w:val="-2"/>
                <w:sz w:val="21"/>
                <w:szCs w:val="21"/>
              </w:rPr>
              <w:t>2分钟内完</w:t>
            </w:r>
            <w:r>
              <w:rPr>
                <w:rFonts w:hint="eastAsia" w:asciiTheme="minorEastAsia" w:hAnsiTheme="minorEastAsia" w:cstheme="minorEastAsia"/>
                <w:sz w:val="21"/>
                <w:szCs w:val="21"/>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根据性别独立完成领导检阅时站姿动作</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宋体" w:hAnsi="宋体" w:cs="华文仿宋"/>
                <w:sz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restart"/>
            <w:noWrap/>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坐姿</w:t>
            </w:r>
          </w:p>
          <w:p>
            <w:pPr>
              <w:spacing w:before="59" w:line="220"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礼仪</w:t>
            </w: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正确规范完成入座动作</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Theme="minorEastAsia" w:hAnsiTheme="minorEastAsia" w:cstheme="minorEastAsia"/>
                <w:spacing w:val="-2"/>
                <w:sz w:val="21"/>
                <w:szCs w:val="21"/>
              </w:rPr>
              <w:t>2分钟内完</w:t>
            </w:r>
            <w:r>
              <w:rPr>
                <w:rFonts w:hint="eastAsia" w:asciiTheme="minorEastAsia" w:hAnsiTheme="minorEastAsia" w:cstheme="minorEastAsia"/>
                <w:sz w:val="21"/>
                <w:szCs w:val="21"/>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根据自身性别标准完成3种坐姿动作</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正确完成离座动作</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restart"/>
            <w:noWrap/>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行姿</w:t>
            </w:r>
          </w:p>
          <w:p>
            <w:pPr>
              <w:spacing w:before="59" w:line="220"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礼仪</w:t>
            </w: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完成直线行姿展示</w:t>
            </w:r>
          </w:p>
        </w:tc>
        <w:tc>
          <w:tcPr>
            <w:tcW w:w="475" w:type="dxa"/>
            <w:noWrap/>
            <w:vAlign w:val="center"/>
          </w:tcPr>
          <w:p>
            <w:pPr>
              <w:spacing w:line="219" w:lineRule="auto"/>
              <w:ind w:firstLine="0" w:firstLineChars="0"/>
              <w:jc w:val="center"/>
              <w:rPr>
                <w:rFonts w:ascii="宋体" w:hAnsi="宋体" w:cs="宋体"/>
                <w:spacing w:val="-3"/>
                <w:sz w:val="21"/>
                <w:szCs w:val="21"/>
              </w:rPr>
            </w:pPr>
            <w:r>
              <w:rPr>
                <w:rFonts w:hint="eastAsia" w:ascii="宋体" w:hAnsi="宋体" w:cs="宋体"/>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Theme="minorEastAsia" w:hAnsiTheme="minorEastAsia" w:cstheme="minorEastAsia"/>
                <w:spacing w:val="-2"/>
                <w:sz w:val="21"/>
                <w:szCs w:val="21"/>
              </w:rPr>
              <w:t>3分钟内完</w:t>
            </w:r>
            <w:r>
              <w:rPr>
                <w:rFonts w:hint="eastAsia" w:asciiTheme="minorEastAsia" w:hAnsiTheme="minorEastAsia" w:cstheme="minorEastAsia"/>
                <w:sz w:val="21"/>
                <w:szCs w:val="21"/>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完成与乘客迎面相遇时行姿动作</w:t>
            </w:r>
          </w:p>
        </w:tc>
        <w:tc>
          <w:tcPr>
            <w:tcW w:w="475" w:type="dxa"/>
            <w:noWrap/>
            <w:vAlign w:val="center"/>
          </w:tcPr>
          <w:p>
            <w:pPr>
              <w:spacing w:line="219" w:lineRule="auto"/>
              <w:ind w:firstLine="0" w:firstLineChars="0"/>
              <w:jc w:val="center"/>
              <w:rPr>
                <w:rFonts w:ascii="宋体" w:hAnsi="宋体" w:cs="宋体"/>
                <w:sz w:val="21"/>
                <w:szCs w:val="21"/>
              </w:rPr>
            </w:pPr>
            <w:r>
              <w:rPr>
                <w:rFonts w:hint="eastAsia" w:ascii="宋体" w:hAnsi="宋体" w:cs="宋体"/>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完成陪同乘客时行姿动作</w:t>
            </w:r>
          </w:p>
        </w:tc>
        <w:tc>
          <w:tcPr>
            <w:tcW w:w="475" w:type="dxa"/>
            <w:noWrap/>
            <w:vAlign w:val="center"/>
          </w:tcPr>
          <w:p>
            <w:pPr>
              <w:spacing w:line="219" w:lineRule="auto"/>
              <w:ind w:firstLine="0" w:firstLineChars="0"/>
              <w:jc w:val="center"/>
              <w:rPr>
                <w:rFonts w:ascii="宋体" w:hAnsi="宋体" w:cs="宋体"/>
                <w:sz w:val="21"/>
                <w:szCs w:val="21"/>
              </w:rPr>
            </w:pPr>
            <w:r>
              <w:rPr>
                <w:rFonts w:hint="eastAsia" w:ascii="宋体" w:hAnsi="宋体" w:cs="宋体"/>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完成引导乘客时行姿动作</w:t>
            </w:r>
          </w:p>
        </w:tc>
        <w:tc>
          <w:tcPr>
            <w:tcW w:w="475" w:type="dxa"/>
            <w:noWrap/>
            <w:vAlign w:val="center"/>
          </w:tcPr>
          <w:p>
            <w:pPr>
              <w:spacing w:line="219" w:lineRule="auto"/>
              <w:ind w:firstLine="0" w:firstLineChars="0"/>
              <w:jc w:val="center"/>
              <w:rPr>
                <w:rFonts w:ascii="宋体" w:hAnsi="宋体" w:cs="宋体"/>
                <w:sz w:val="21"/>
                <w:szCs w:val="21"/>
              </w:rPr>
            </w:pPr>
            <w:r>
              <w:rPr>
                <w:rFonts w:hint="eastAsia" w:ascii="宋体" w:hAnsi="宋体" w:cs="宋体"/>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restart"/>
            <w:noWrap/>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蹲姿</w:t>
            </w:r>
          </w:p>
          <w:p>
            <w:pPr>
              <w:spacing w:before="59" w:line="220"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礼仪</w:t>
            </w: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根据性别完成蹲姿展示</w:t>
            </w:r>
          </w:p>
        </w:tc>
        <w:tc>
          <w:tcPr>
            <w:tcW w:w="475" w:type="dxa"/>
            <w:noWrap/>
            <w:vAlign w:val="center"/>
          </w:tcPr>
          <w:p>
            <w:pPr>
              <w:ind w:firstLine="0" w:firstLineChars="0"/>
              <w:jc w:val="center"/>
            </w:pPr>
            <w:r>
              <w:rPr>
                <w:rFonts w:hint="eastAsia" w:ascii="宋体" w:hAnsi="宋体" w:cs="宋体"/>
                <w:spacing w:val="-3"/>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67" w:line="219" w:lineRule="auto"/>
              <w:ind w:firstLine="0" w:firstLineChars="0"/>
              <w:rPr>
                <w:rFonts w:ascii="宋体" w:hAnsi="宋体" w:cs="华文仿宋"/>
                <w:sz w:val="21"/>
                <w:szCs w:val="21"/>
              </w:rPr>
            </w:pPr>
          </w:p>
        </w:tc>
        <w:tc>
          <w:tcPr>
            <w:tcW w:w="4813" w:type="dxa"/>
            <w:noWrap/>
            <w:vAlign w:val="center"/>
          </w:tcPr>
          <w:p>
            <w:pPr>
              <w:spacing w:before="67" w:line="219" w:lineRule="auto"/>
              <w:ind w:firstLine="0" w:firstLineChars="0"/>
              <w:rPr>
                <w:rFonts w:ascii="宋体" w:hAnsi="宋体" w:cs="华文仿宋"/>
                <w:sz w:val="21"/>
                <w:szCs w:val="21"/>
              </w:rPr>
            </w:pPr>
            <w:r>
              <w:rPr>
                <w:rFonts w:hint="eastAsia" w:asciiTheme="minorEastAsia" w:hAnsiTheme="minorEastAsia" w:cstheme="minorEastAsia"/>
                <w:sz w:val="21"/>
                <w:szCs w:val="21"/>
              </w:rPr>
              <w:t>正确采取蹲姿拾取掉落物品</w:t>
            </w:r>
          </w:p>
        </w:tc>
        <w:tc>
          <w:tcPr>
            <w:tcW w:w="475" w:type="dxa"/>
            <w:noWrap/>
            <w:vAlign w:val="center"/>
          </w:tcPr>
          <w:p>
            <w:pPr>
              <w:spacing w:line="219" w:lineRule="auto"/>
              <w:ind w:firstLine="0" w:firstLineChars="0"/>
              <w:jc w:val="center"/>
              <w:rPr>
                <w:rFonts w:ascii="宋体" w:hAnsi="宋体" w:cs="宋体"/>
                <w:sz w:val="21"/>
                <w:szCs w:val="21"/>
              </w:rPr>
            </w:pPr>
            <w:r>
              <w:rPr>
                <w:rFonts w:hint="eastAsia" w:ascii="宋体" w:hAnsi="宋体" w:cs="宋体"/>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restart"/>
            <w:noWrap/>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鞠躬</w:t>
            </w:r>
          </w:p>
          <w:p>
            <w:pPr>
              <w:spacing w:before="59" w:line="220" w:lineRule="auto"/>
              <w:ind w:firstLine="0" w:firstLineChars="0"/>
              <w:jc w:val="center"/>
              <w:rPr>
                <w:rFonts w:ascii="宋体" w:hAnsi="宋体" w:cs="华文仿宋"/>
                <w:sz w:val="21"/>
                <w:szCs w:val="21"/>
              </w:rPr>
            </w:pPr>
            <w:r>
              <w:rPr>
                <w:rFonts w:hint="eastAsia" w:asciiTheme="minorEastAsia" w:hAnsiTheme="minorEastAsia" w:cstheme="minorEastAsia"/>
                <w:sz w:val="21"/>
                <w:szCs w:val="21"/>
              </w:rPr>
              <w:t>礼仪</w:t>
            </w:r>
          </w:p>
        </w:tc>
        <w:tc>
          <w:tcPr>
            <w:tcW w:w="4813" w:type="dxa"/>
            <w:noWrap/>
          </w:tcPr>
          <w:p>
            <w:pPr>
              <w:spacing w:before="67" w:line="219" w:lineRule="auto"/>
              <w:ind w:firstLine="0" w:firstLineChars="0"/>
              <w:rPr>
                <w:rFonts w:ascii="宋体" w:hAnsi="宋体" w:cs="华文仿宋"/>
                <w:sz w:val="21"/>
                <w:szCs w:val="21"/>
              </w:rPr>
            </w:pPr>
            <w:r>
              <w:rPr>
                <w:rFonts w:hint="eastAsia" w:ascii="宋体" w:hAnsi="宋体" w:cs="华文仿宋"/>
                <w:sz w:val="21"/>
                <w:szCs w:val="21"/>
              </w:rPr>
              <w:t>15°鞠躬</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宋体" w:hAnsi="宋体" w:cs="华文仿宋"/>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59" w:line="220" w:lineRule="auto"/>
              <w:ind w:firstLine="0" w:firstLineChars="0"/>
              <w:jc w:val="center"/>
              <w:rPr>
                <w:rFonts w:asciiTheme="minorEastAsia" w:hAnsiTheme="minorEastAsia" w:cstheme="minorEastAsia"/>
                <w:sz w:val="21"/>
                <w:szCs w:val="21"/>
              </w:rPr>
            </w:pPr>
          </w:p>
        </w:tc>
        <w:tc>
          <w:tcPr>
            <w:tcW w:w="4813" w:type="dxa"/>
            <w:noWrap/>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30°鞠躬</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宋体" w:hAnsi="宋体" w:cs="华文仿宋"/>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59" w:line="220" w:lineRule="auto"/>
              <w:ind w:firstLine="0" w:firstLineChars="0"/>
              <w:jc w:val="center"/>
              <w:rPr>
                <w:rFonts w:asciiTheme="minorEastAsia" w:hAnsiTheme="minorEastAsia" w:cstheme="minorEastAsia"/>
                <w:sz w:val="21"/>
                <w:szCs w:val="21"/>
              </w:rPr>
            </w:pPr>
          </w:p>
        </w:tc>
        <w:tc>
          <w:tcPr>
            <w:tcW w:w="4813" w:type="dxa"/>
            <w:noWrap/>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45°鞠躬</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宋体" w:hAnsi="宋体" w:cs="华文仿宋"/>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27" w:type="dxa"/>
            <w:vMerge w:val="continue"/>
            <w:noWrap/>
            <w:vAlign w:val="center"/>
          </w:tcPr>
          <w:p>
            <w:pPr>
              <w:ind w:firstLine="420"/>
              <w:jc w:val="center"/>
              <w:rPr>
                <w:rFonts w:ascii="宋体" w:hAnsi="宋体" w:cs="华文仿宋"/>
                <w:color w:val="0000FF"/>
                <w:sz w:val="21"/>
                <w:szCs w:val="21"/>
              </w:rPr>
            </w:pPr>
          </w:p>
        </w:tc>
        <w:tc>
          <w:tcPr>
            <w:tcW w:w="1103" w:type="dxa"/>
            <w:vMerge w:val="continue"/>
            <w:noWrap/>
            <w:vAlign w:val="center"/>
          </w:tcPr>
          <w:p>
            <w:pPr>
              <w:spacing w:before="59" w:line="220" w:lineRule="auto"/>
              <w:ind w:firstLine="0" w:firstLineChars="0"/>
              <w:jc w:val="center"/>
              <w:rPr>
                <w:rFonts w:asciiTheme="minorEastAsia" w:hAnsiTheme="minorEastAsia" w:cstheme="minorEastAsia"/>
                <w:sz w:val="21"/>
                <w:szCs w:val="21"/>
              </w:rPr>
            </w:pPr>
          </w:p>
        </w:tc>
        <w:tc>
          <w:tcPr>
            <w:tcW w:w="4813" w:type="dxa"/>
            <w:noWrap/>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90°鞠躬</w:t>
            </w:r>
          </w:p>
        </w:tc>
        <w:tc>
          <w:tcPr>
            <w:tcW w:w="475" w:type="dxa"/>
            <w:noWrap/>
            <w:vAlign w:val="center"/>
          </w:tcPr>
          <w:p>
            <w:pPr>
              <w:spacing w:before="67" w:line="219" w:lineRule="auto"/>
              <w:ind w:firstLine="0" w:firstLineChars="0"/>
              <w:jc w:val="center"/>
              <w:rPr>
                <w:rFonts w:ascii="宋体" w:hAnsi="宋体" w:cs="华文仿宋"/>
                <w:sz w:val="21"/>
                <w:szCs w:val="21"/>
              </w:rPr>
            </w:pPr>
            <w:r>
              <w:rPr>
                <w:rFonts w:hint="eastAsia" w:ascii="宋体" w:hAnsi="宋体" w:cs="华文仿宋"/>
                <w:sz w:val="21"/>
                <w:szCs w:val="21"/>
              </w:rPr>
              <w:t>5</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ind w:firstLine="1260" w:firstLineChars="60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旅客</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列车</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常规</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特殊</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播报</w:t>
            </w:r>
          </w:p>
        </w:tc>
        <w:tc>
          <w:tcPr>
            <w:tcW w:w="1103"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播报</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要求</w:t>
            </w: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列车广播时机准确，流程规范</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ind w:firstLine="0" w:firstLineChars="0"/>
              <w:jc w:val="center"/>
              <w:rPr>
                <w:rFonts w:ascii="宋体" w:hAnsi="宋体" w:eastAsia="宋体" w:cs="宋体"/>
                <w:sz w:val="21"/>
                <w:szCs w:val="21"/>
              </w:rPr>
            </w:pPr>
          </w:p>
        </w:tc>
        <w:tc>
          <w:tcPr>
            <w:tcW w:w="1442" w:type="dxa"/>
            <w:vMerge w:val="restart"/>
            <w:noWrap/>
            <w:vAlign w:val="center"/>
          </w:tcPr>
          <w:p>
            <w:pPr>
              <w:ind w:firstLine="0" w:firstLineChars="0"/>
              <w:jc w:val="left"/>
              <w:rPr>
                <w:rFonts w:ascii="宋体" w:hAnsi="宋体" w:eastAsia="宋体" w:cs="宋体"/>
                <w:sz w:val="21"/>
                <w:szCs w:val="21"/>
              </w:rPr>
            </w:pPr>
            <w:r>
              <w:rPr>
                <w:rFonts w:hint="eastAsia" w:ascii="宋体" w:hAnsi="宋体" w:eastAsia="宋体" w:cs="宋体"/>
                <w:sz w:val="21"/>
                <w:szCs w:val="21"/>
              </w:rPr>
              <w:t>3分钟内完成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line="360" w:lineRule="exact"/>
              <w:ind w:firstLine="0" w:firstLineChars="0"/>
              <w:jc w:val="center"/>
              <w:rPr>
                <w:rFonts w:ascii="宋体" w:hAnsi="宋体" w:cs="华文仿宋"/>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普通话流利，嗓音悦耳</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line="360" w:lineRule="exact"/>
              <w:ind w:firstLine="0" w:firstLineChars="0"/>
              <w:jc w:val="center"/>
              <w:rPr>
                <w:rFonts w:ascii="宋体" w:hAnsi="宋体" w:cs="华文仿宋"/>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语意、思路、逻辑、感情、态度等清晰，体现尊重</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line="360" w:lineRule="exact"/>
              <w:ind w:firstLine="0" w:firstLineChars="0"/>
              <w:jc w:val="center"/>
              <w:rPr>
                <w:rFonts w:ascii="宋体" w:hAnsi="宋体" w:cs="华文仿宋"/>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语气、语调适当，重音、节奏恰当</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103" w:type="dxa"/>
            <w:vMerge w:val="continue"/>
            <w:noWrap/>
            <w:vAlign w:val="center"/>
          </w:tcPr>
          <w:p>
            <w:pPr>
              <w:spacing w:line="360" w:lineRule="exact"/>
              <w:ind w:firstLine="0" w:firstLineChars="0"/>
              <w:jc w:val="center"/>
              <w:rPr>
                <w:rFonts w:ascii="宋体" w:hAnsi="宋体" w:cs="华文仿宋"/>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语言流畅，无卡顿，无口误</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103"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广播准备充分，提前熟悉广播内容</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103"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规范性内容广播穿插时机恰当</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27"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103"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4813" w:type="dxa"/>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能够熟练运用礼貌用语、敬语、谦语</w:t>
            </w:r>
          </w:p>
        </w:tc>
        <w:tc>
          <w:tcPr>
            <w:tcW w:w="475"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88" w:type="dxa"/>
            <w:vMerge w:val="continue"/>
            <w:noWrap/>
            <w:vAlign w:val="center"/>
          </w:tcPr>
          <w:p>
            <w:pPr>
              <w:spacing w:line="360" w:lineRule="exact"/>
              <w:ind w:firstLine="0" w:firstLineChars="0"/>
              <w:jc w:val="center"/>
              <w:rPr>
                <w:rFonts w:ascii="宋体" w:hAnsi="宋体" w:cs="华文仿宋"/>
                <w:color w:val="0000FF"/>
                <w:sz w:val="21"/>
                <w:szCs w:val="21"/>
              </w:rPr>
            </w:pPr>
          </w:p>
        </w:tc>
        <w:tc>
          <w:tcPr>
            <w:tcW w:w="1442" w:type="dxa"/>
            <w:vMerge w:val="continue"/>
            <w:noWrap/>
            <w:vAlign w:val="center"/>
          </w:tcPr>
          <w:p>
            <w:pPr>
              <w:spacing w:line="360" w:lineRule="exact"/>
              <w:ind w:firstLine="0" w:firstLineChars="0"/>
              <w:jc w:val="center"/>
              <w:rPr>
                <w:rFonts w:ascii="宋体" w:hAnsi="宋体" w:cs="华文仿宋"/>
                <w:color w:val="0000FF"/>
                <w:sz w:val="21"/>
                <w:szCs w:val="21"/>
              </w:rPr>
            </w:pPr>
          </w:p>
        </w:tc>
      </w:tr>
    </w:tbl>
    <w:p>
      <w:pPr>
        <w:pStyle w:val="3"/>
        <w:spacing w:line="440" w:lineRule="exact"/>
        <w:rPr>
          <w:rFonts w:hint="default" w:asciiTheme="minorEastAsia" w:hAnsiTheme="minorEastAsia" w:eastAsiaTheme="minorEastAsia" w:cstheme="minorEastAsia"/>
          <w:sz w:val="28"/>
          <w:szCs w:val="28"/>
        </w:rPr>
      </w:pPr>
    </w:p>
    <w:p>
      <w:pPr>
        <w:pStyle w:val="3"/>
        <w:spacing w:line="440" w:lineRule="exact"/>
        <w:rPr>
          <w:rFonts w:hint="default" w:asciiTheme="minorEastAsia" w:hAnsiTheme="minorEastAsia" w:eastAsiaTheme="minorEastAsia" w:cstheme="minorEastAsia"/>
          <w:sz w:val="28"/>
          <w:szCs w:val="28"/>
        </w:rPr>
      </w:pPr>
    </w:p>
    <w:p>
      <w:pPr>
        <w:pStyle w:val="3"/>
        <w:spacing w:line="440" w:lineRule="exact"/>
        <w:rPr>
          <w:rFonts w:hint="default" w:asciiTheme="minorEastAsia" w:hAnsiTheme="minorEastAsia" w:eastAsiaTheme="minorEastAsia" w:cstheme="minorEastAsia"/>
          <w:sz w:val="28"/>
          <w:szCs w:val="28"/>
        </w:rPr>
      </w:pPr>
    </w:p>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五</w:t>
      </w:r>
      <w:r>
        <w:rPr>
          <w:rFonts w:hint="default" w:asciiTheme="minorEastAsia" w:hAnsiTheme="minorEastAsia" w:eastAsiaTheme="minorEastAsia" w:cstheme="minorEastAsia"/>
          <w:sz w:val="28"/>
          <w:szCs w:val="28"/>
        </w:rPr>
        <w:t>、考试大纲调整说明</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1.考试大纲编制原则</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遵循专业基础知识和岗位核心能力相结合原则，选取典型专业技能项目，将专业知识融入技能操作，考查技能训练教学效果，考核学生职业岗位工作过程；兼顾中等职业学校铁道交通类各专业教学标准和技术新标准，选取通用知识与技能作为考核项目。</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2.考试大纲适用专业</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本考试大纲适用于中等职业学校铁道运输服务、高速铁路乘务专业。</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3.教学内容及实施建议</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（1）考纲对应教学内容，全面考核中等职业学校铁道交通类专业学生在铁路客运组织、铁路客运服务方面的能力、考试范围及难易程度合理，适用于选拔技术技能人才。</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教学实施建议，本次给定的2024年考核项目是中等职业学校铁道交通类专业教学内容的一部分，考核项目每年有一定变化；建议中等职业学校依据各专业教学标准，合理匹配理论与实践教学，全面提升学生专业能力及综合素养。</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4.技能考试过程</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铁道交通类专业技能考试采取技能考试采取服务礼仪展示、普通话播音的方式进行，时间为15分钟；依据不同技能考核项目综合考查学生客运组织与仪容仪表、服务礼仪、服务用语、客运服务能力等方面的基本能力。</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5.评价赋分形式</w:t>
      </w:r>
    </w:p>
    <w:p>
      <w:pPr>
        <w:spacing w:line="440" w:lineRule="exact"/>
        <w:ind w:firstLine="560"/>
        <w:rPr>
          <w:rFonts w:ascii="黑体" w:hAnsi="黑体" w:eastAsia="黑体" w:cs="黑体"/>
          <w:b/>
          <w:bCs/>
        </w:rPr>
      </w:pPr>
      <w:r>
        <w:rPr>
          <w:rFonts w:hint="eastAsia" w:asciiTheme="minorEastAsia" w:hAnsiTheme="minorEastAsia" w:cstheme="minorEastAsia"/>
          <w:sz w:val="28"/>
          <w:szCs w:val="28"/>
        </w:rPr>
        <w:t>铁道交通类专业技能考核为过程性评价，同时注重工作质量，权重合理。</w:t>
      </w:r>
    </w:p>
    <w:p>
      <w:pPr>
        <w:spacing w:line="440" w:lineRule="exact"/>
        <w:ind w:firstLine="0" w:firstLineChars="0"/>
        <w:rPr>
          <w:rFonts w:ascii="宋体" w:hAnsi="宋体" w:cs="Arial"/>
          <w:b/>
          <w:color w:val="0000FF"/>
          <w:kern w:val="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172A27"/>
    <w:rsid w:val="00053E88"/>
    <w:rsid w:val="000B2A0A"/>
    <w:rsid w:val="000E4478"/>
    <w:rsid w:val="00172A27"/>
    <w:rsid w:val="001864FD"/>
    <w:rsid w:val="00414ECC"/>
    <w:rsid w:val="00441927"/>
    <w:rsid w:val="006A2E78"/>
    <w:rsid w:val="00782FB0"/>
    <w:rsid w:val="007A625E"/>
    <w:rsid w:val="00877A94"/>
    <w:rsid w:val="008940AE"/>
    <w:rsid w:val="00B71575"/>
    <w:rsid w:val="00BC74C1"/>
    <w:rsid w:val="00BD03D1"/>
    <w:rsid w:val="00DA22F4"/>
    <w:rsid w:val="00E9791D"/>
    <w:rsid w:val="00EF6B5B"/>
    <w:rsid w:val="00F62CA3"/>
    <w:rsid w:val="01467425"/>
    <w:rsid w:val="0253085C"/>
    <w:rsid w:val="02781BC8"/>
    <w:rsid w:val="038E0703"/>
    <w:rsid w:val="03C63A80"/>
    <w:rsid w:val="045F1969"/>
    <w:rsid w:val="048E2874"/>
    <w:rsid w:val="04B34B43"/>
    <w:rsid w:val="04E56FB9"/>
    <w:rsid w:val="052136C5"/>
    <w:rsid w:val="05441C98"/>
    <w:rsid w:val="05891741"/>
    <w:rsid w:val="05D33477"/>
    <w:rsid w:val="05D83868"/>
    <w:rsid w:val="064D26E6"/>
    <w:rsid w:val="067F41B9"/>
    <w:rsid w:val="06EF5F68"/>
    <w:rsid w:val="06F16A0F"/>
    <w:rsid w:val="07025EC3"/>
    <w:rsid w:val="07903FF7"/>
    <w:rsid w:val="07EB45B8"/>
    <w:rsid w:val="08D31906"/>
    <w:rsid w:val="08D33FE6"/>
    <w:rsid w:val="092E38C6"/>
    <w:rsid w:val="0A211646"/>
    <w:rsid w:val="0A7A12EF"/>
    <w:rsid w:val="0B295A5C"/>
    <w:rsid w:val="0B4A1814"/>
    <w:rsid w:val="0CAE6EDD"/>
    <w:rsid w:val="0D186481"/>
    <w:rsid w:val="0EFE4A44"/>
    <w:rsid w:val="0F493E93"/>
    <w:rsid w:val="0F503C2D"/>
    <w:rsid w:val="0FCE3ABE"/>
    <w:rsid w:val="114006A7"/>
    <w:rsid w:val="11884B51"/>
    <w:rsid w:val="11910E95"/>
    <w:rsid w:val="126A1B24"/>
    <w:rsid w:val="12B7360E"/>
    <w:rsid w:val="13231DD0"/>
    <w:rsid w:val="13A31E72"/>
    <w:rsid w:val="13D011ED"/>
    <w:rsid w:val="14FF2B7F"/>
    <w:rsid w:val="15A177F9"/>
    <w:rsid w:val="15F94EA2"/>
    <w:rsid w:val="167B1172"/>
    <w:rsid w:val="1780297E"/>
    <w:rsid w:val="17BE66B3"/>
    <w:rsid w:val="182633AB"/>
    <w:rsid w:val="186510A6"/>
    <w:rsid w:val="18687698"/>
    <w:rsid w:val="1A84670E"/>
    <w:rsid w:val="1A8A3E9A"/>
    <w:rsid w:val="1ACB41A7"/>
    <w:rsid w:val="1AF225C5"/>
    <w:rsid w:val="1B196743"/>
    <w:rsid w:val="1B3E4E5E"/>
    <w:rsid w:val="1B52496C"/>
    <w:rsid w:val="1B6E7990"/>
    <w:rsid w:val="1C6E4FB6"/>
    <w:rsid w:val="1C876F49"/>
    <w:rsid w:val="1D024523"/>
    <w:rsid w:val="1DB22149"/>
    <w:rsid w:val="1DCC746F"/>
    <w:rsid w:val="1E097D13"/>
    <w:rsid w:val="1E5828D6"/>
    <w:rsid w:val="1EB52C70"/>
    <w:rsid w:val="1ED50FA6"/>
    <w:rsid w:val="1FC475AA"/>
    <w:rsid w:val="20C77B4A"/>
    <w:rsid w:val="20CA2D16"/>
    <w:rsid w:val="217638BF"/>
    <w:rsid w:val="21E914AE"/>
    <w:rsid w:val="21EE05F4"/>
    <w:rsid w:val="22086FD9"/>
    <w:rsid w:val="226A7B95"/>
    <w:rsid w:val="22934188"/>
    <w:rsid w:val="22FB1D2D"/>
    <w:rsid w:val="23403BE4"/>
    <w:rsid w:val="237F2849"/>
    <w:rsid w:val="237F4F30"/>
    <w:rsid w:val="23A9279B"/>
    <w:rsid w:val="23F7779D"/>
    <w:rsid w:val="23FF5C91"/>
    <w:rsid w:val="24600C0F"/>
    <w:rsid w:val="26166E41"/>
    <w:rsid w:val="278F4242"/>
    <w:rsid w:val="27D86C6A"/>
    <w:rsid w:val="27DF1DDE"/>
    <w:rsid w:val="28370309"/>
    <w:rsid w:val="29491B5F"/>
    <w:rsid w:val="294C45CE"/>
    <w:rsid w:val="29B23078"/>
    <w:rsid w:val="29E03CB9"/>
    <w:rsid w:val="2A385615"/>
    <w:rsid w:val="2A7121B2"/>
    <w:rsid w:val="2AE17EE7"/>
    <w:rsid w:val="2AE90B77"/>
    <w:rsid w:val="2AF124DA"/>
    <w:rsid w:val="2B627E31"/>
    <w:rsid w:val="2B936A4F"/>
    <w:rsid w:val="2C4555B0"/>
    <w:rsid w:val="2CF540CF"/>
    <w:rsid w:val="2D053F5D"/>
    <w:rsid w:val="2DCD5A87"/>
    <w:rsid w:val="2E190CDE"/>
    <w:rsid w:val="2E400F3C"/>
    <w:rsid w:val="2F2F3D79"/>
    <w:rsid w:val="2F394689"/>
    <w:rsid w:val="2F8C268B"/>
    <w:rsid w:val="2FCF47FC"/>
    <w:rsid w:val="2FE0031A"/>
    <w:rsid w:val="31D420C7"/>
    <w:rsid w:val="3207424B"/>
    <w:rsid w:val="32534937"/>
    <w:rsid w:val="32EC6C98"/>
    <w:rsid w:val="34511DE2"/>
    <w:rsid w:val="349E7417"/>
    <w:rsid w:val="34DD35B3"/>
    <w:rsid w:val="35A23D0E"/>
    <w:rsid w:val="35F2150E"/>
    <w:rsid w:val="3623361D"/>
    <w:rsid w:val="363D12A7"/>
    <w:rsid w:val="36E5561F"/>
    <w:rsid w:val="37041849"/>
    <w:rsid w:val="375F3C64"/>
    <w:rsid w:val="37AF5D50"/>
    <w:rsid w:val="38363E93"/>
    <w:rsid w:val="38605DCE"/>
    <w:rsid w:val="38755BD4"/>
    <w:rsid w:val="38D534B1"/>
    <w:rsid w:val="38D85C3D"/>
    <w:rsid w:val="396665B7"/>
    <w:rsid w:val="396A3CB7"/>
    <w:rsid w:val="39A51CE1"/>
    <w:rsid w:val="39E465D7"/>
    <w:rsid w:val="3A895415"/>
    <w:rsid w:val="3A99047D"/>
    <w:rsid w:val="3AB17449"/>
    <w:rsid w:val="3AC10034"/>
    <w:rsid w:val="3B497B2D"/>
    <w:rsid w:val="3B4C09D6"/>
    <w:rsid w:val="3BAF2DFE"/>
    <w:rsid w:val="3CD278D9"/>
    <w:rsid w:val="3CDE21BC"/>
    <w:rsid w:val="3E105B66"/>
    <w:rsid w:val="3E8A248B"/>
    <w:rsid w:val="3F0622E4"/>
    <w:rsid w:val="3F93165A"/>
    <w:rsid w:val="3FB43F86"/>
    <w:rsid w:val="3FC72DAE"/>
    <w:rsid w:val="40050695"/>
    <w:rsid w:val="407A7E48"/>
    <w:rsid w:val="40E369D8"/>
    <w:rsid w:val="40F3031D"/>
    <w:rsid w:val="41313092"/>
    <w:rsid w:val="41340D87"/>
    <w:rsid w:val="4171348E"/>
    <w:rsid w:val="41B6041E"/>
    <w:rsid w:val="42495354"/>
    <w:rsid w:val="42E810F4"/>
    <w:rsid w:val="42F15A43"/>
    <w:rsid w:val="431E1BAC"/>
    <w:rsid w:val="438A4CDB"/>
    <w:rsid w:val="444A3897"/>
    <w:rsid w:val="448A31E8"/>
    <w:rsid w:val="448C7851"/>
    <w:rsid w:val="44CA344D"/>
    <w:rsid w:val="452F2C10"/>
    <w:rsid w:val="4577303D"/>
    <w:rsid w:val="459563EA"/>
    <w:rsid w:val="460F1C96"/>
    <w:rsid w:val="466E7D19"/>
    <w:rsid w:val="46847A46"/>
    <w:rsid w:val="46BB5C1A"/>
    <w:rsid w:val="47105324"/>
    <w:rsid w:val="47320639"/>
    <w:rsid w:val="47694DF5"/>
    <w:rsid w:val="47E0092D"/>
    <w:rsid w:val="489058B2"/>
    <w:rsid w:val="48A73C3A"/>
    <w:rsid w:val="48F77743"/>
    <w:rsid w:val="498C3868"/>
    <w:rsid w:val="4A0343FD"/>
    <w:rsid w:val="4A047CB4"/>
    <w:rsid w:val="4A8E3BA4"/>
    <w:rsid w:val="4A952667"/>
    <w:rsid w:val="4AFC64BF"/>
    <w:rsid w:val="4B101F6A"/>
    <w:rsid w:val="4B154506"/>
    <w:rsid w:val="4B257869"/>
    <w:rsid w:val="4B29095D"/>
    <w:rsid w:val="4C4039A8"/>
    <w:rsid w:val="4CB52B24"/>
    <w:rsid w:val="4D0111D0"/>
    <w:rsid w:val="4DDE683C"/>
    <w:rsid w:val="4DFC7C89"/>
    <w:rsid w:val="4EC85950"/>
    <w:rsid w:val="4EFD5990"/>
    <w:rsid w:val="4FA407B6"/>
    <w:rsid w:val="50417763"/>
    <w:rsid w:val="50B16A74"/>
    <w:rsid w:val="515558F4"/>
    <w:rsid w:val="51B12E15"/>
    <w:rsid w:val="5204289F"/>
    <w:rsid w:val="52421802"/>
    <w:rsid w:val="5283536B"/>
    <w:rsid w:val="533D211A"/>
    <w:rsid w:val="538A011C"/>
    <w:rsid w:val="543F5893"/>
    <w:rsid w:val="54C2712D"/>
    <w:rsid w:val="54DA57CA"/>
    <w:rsid w:val="55543939"/>
    <w:rsid w:val="55997E7C"/>
    <w:rsid w:val="55C53951"/>
    <w:rsid w:val="55E90F00"/>
    <w:rsid w:val="5727418B"/>
    <w:rsid w:val="57411649"/>
    <w:rsid w:val="57455939"/>
    <w:rsid w:val="579F72CD"/>
    <w:rsid w:val="57C54ED4"/>
    <w:rsid w:val="59200B8C"/>
    <w:rsid w:val="59D4354B"/>
    <w:rsid w:val="5BC30933"/>
    <w:rsid w:val="5C213F0F"/>
    <w:rsid w:val="5CB54DA6"/>
    <w:rsid w:val="5CFA6550"/>
    <w:rsid w:val="5D4E57E6"/>
    <w:rsid w:val="5D545550"/>
    <w:rsid w:val="5D877244"/>
    <w:rsid w:val="5DCE16A5"/>
    <w:rsid w:val="5E317B16"/>
    <w:rsid w:val="5E3D4F96"/>
    <w:rsid w:val="5E4B06C0"/>
    <w:rsid w:val="5E7D784E"/>
    <w:rsid w:val="5F7104A2"/>
    <w:rsid w:val="5FCC5339"/>
    <w:rsid w:val="60141033"/>
    <w:rsid w:val="607B41D8"/>
    <w:rsid w:val="6231453C"/>
    <w:rsid w:val="63793840"/>
    <w:rsid w:val="637E354B"/>
    <w:rsid w:val="63CB597F"/>
    <w:rsid w:val="642D031A"/>
    <w:rsid w:val="646253E5"/>
    <w:rsid w:val="65744900"/>
    <w:rsid w:val="66345B9E"/>
    <w:rsid w:val="663F6A0A"/>
    <w:rsid w:val="66C35C8B"/>
    <w:rsid w:val="67F67319"/>
    <w:rsid w:val="68A94E70"/>
    <w:rsid w:val="68EF0FB9"/>
    <w:rsid w:val="6923630A"/>
    <w:rsid w:val="6991630A"/>
    <w:rsid w:val="69B83603"/>
    <w:rsid w:val="6A156AD6"/>
    <w:rsid w:val="6AC358F3"/>
    <w:rsid w:val="6B71293D"/>
    <w:rsid w:val="6B792DBC"/>
    <w:rsid w:val="6B991EB6"/>
    <w:rsid w:val="6BB64010"/>
    <w:rsid w:val="6BF5742D"/>
    <w:rsid w:val="6C621FDF"/>
    <w:rsid w:val="6C7B11C2"/>
    <w:rsid w:val="6CB04A1B"/>
    <w:rsid w:val="6CE12720"/>
    <w:rsid w:val="6D9C058C"/>
    <w:rsid w:val="6E223845"/>
    <w:rsid w:val="6E510020"/>
    <w:rsid w:val="6E557E91"/>
    <w:rsid w:val="6E7F7617"/>
    <w:rsid w:val="6E873A42"/>
    <w:rsid w:val="6F1B68AE"/>
    <w:rsid w:val="6FA80114"/>
    <w:rsid w:val="6FE0321B"/>
    <w:rsid w:val="70383246"/>
    <w:rsid w:val="70AB0365"/>
    <w:rsid w:val="71260E39"/>
    <w:rsid w:val="71706E29"/>
    <w:rsid w:val="7220285C"/>
    <w:rsid w:val="73303587"/>
    <w:rsid w:val="73C053F4"/>
    <w:rsid w:val="73C572FE"/>
    <w:rsid w:val="744F7262"/>
    <w:rsid w:val="747814CB"/>
    <w:rsid w:val="7536480C"/>
    <w:rsid w:val="758F0589"/>
    <w:rsid w:val="75E41876"/>
    <w:rsid w:val="764F12E9"/>
    <w:rsid w:val="76ED7B2A"/>
    <w:rsid w:val="774E5603"/>
    <w:rsid w:val="77C36889"/>
    <w:rsid w:val="784D2227"/>
    <w:rsid w:val="789A68EC"/>
    <w:rsid w:val="791906D8"/>
    <w:rsid w:val="79BE46FD"/>
    <w:rsid w:val="7AC13CF3"/>
    <w:rsid w:val="7B6D1CE0"/>
    <w:rsid w:val="7B9E0065"/>
    <w:rsid w:val="7BD00A19"/>
    <w:rsid w:val="7C354812"/>
    <w:rsid w:val="7C9A0F63"/>
    <w:rsid w:val="7D475475"/>
    <w:rsid w:val="7D4B339D"/>
    <w:rsid w:val="7D90630C"/>
    <w:rsid w:val="7E057C96"/>
    <w:rsid w:val="7E3A5223"/>
    <w:rsid w:val="7EE43842"/>
    <w:rsid w:val="7F7165A5"/>
    <w:rsid w:val="7F926ADA"/>
    <w:rsid w:val="7FA169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qFormat="1" w:unhideWhenUsed="0" w:uiPriority="0" w:semiHidden="0" w:name="annotation text"/>
    <w:lsdException w:unhideWhenUsed="0" w:uiPriority="99" w:semiHidden="0" w:name="header"/>
    <w:lsdException w:qFormat="1"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qFormat="1" w:unhideWhenUsed="0" w:uiPriority="0"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qFormat/>
    <w:uiPriority w:val="0"/>
    <w:pPr>
      <w:keepNext/>
      <w:keepLines/>
      <w:spacing w:line="576" w:lineRule="auto"/>
      <w:jc w:val="center"/>
      <w:outlineLvl w:val="0"/>
    </w:pPr>
    <w:rPr>
      <w:rFonts w:eastAsia="黑体"/>
      <w:b/>
      <w:kern w:val="44"/>
      <w:sz w:val="28"/>
    </w:rPr>
  </w:style>
  <w:style w:type="paragraph" w:styleId="3">
    <w:name w:val="heading 2"/>
    <w:basedOn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unhideWhenUsed/>
    <w:qFormat/>
    <w:uiPriority w:val="0"/>
    <w:pPr>
      <w:tabs>
        <w:tab w:val="center" w:pos="4153"/>
        <w:tab w:val="right" w:pos="8306"/>
      </w:tabs>
      <w:snapToGrid w:val="0"/>
      <w:jc w:val="left"/>
    </w:pPr>
    <w:rPr>
      <w:sz w:val="18"/>
      <w:szCs w:val="18"/>
    </w:rPr>
  </w:style>
  <w:style w:type="paragraph" w:styleId="6">
    <w:name w:val="header"/>
    <w:basedOn w:val="1"/>
    <w:link w:val="17"/>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1">
    <w:name w:val="Strong"/>
    <w:basedOn w:val="10"/>
    <w:qFormat/>
    <w:uiPriority w:val="0"/>
    <w:rPr>
      <w:b/>
    </w:rPr>
  </w:style>
  <w:style w:type="paragraph" w:customStyle="1" w:styleId="12">
    <w:name w:val="课题---正文F"/>
    <w:basedOn w:val="1"/>
    <w:qFormat/>
    <w:uiPriority w:val="0"/>
    <w:pPr>
      <w:adjustRightInd w:val="0"/>
      <w:snapToGrid w:val="0"/>
      <w:spacing w:line="400" w:lineRule="exact"/>
      <w:ind w:firstLine="200"/>
    </w:pPr>
    <w:rPr>
      <w:rFonts w:ascii="宋体" w:hAnsi="宋体" w:eastAsia="仿宋"/>
      <w:kern w:val="0"/>
      <w:sz w:val="28"/>
      <w:szCs w:val="21"/>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p22"/>
    <w:basedOn w:val="1"/>
    <w:qFormat/>
    <w:uiPriority w:val="0"/>
    <w:pPr>
      <w:widowControl/>
      <w:ind w:firstLine="0"/>
    </w:pPr>
    <w:rPr>
      <w:rFonts w:ascii="Arial" w:hAnsi="Arial" w:eastAsia="宋体" w:cs="Arial"/>
      <w:sz w:val="20"/>
    </w:rPr>
  </w:style>
  <w:style w:type="paragraph" w:customStyle="1" w:styleId="15">
    <w:name w:val="p0"/>
    <w:basedOn w:val="1"/>
    <w:qFormat/>
    <w:uiPriority w:val="0"/>
    <w:pPr>
      <w:widowControl/>
      <w:spacing w:before="100" w:beforeAutospacing="1" w:after="100" w:afterAutospacing="1"/>
      <w:ind w:firstLine="0"/>
    </w:pPr>
    <w:rPr>
      <w:rFonts w:ascii="宋体" w:hAnsi="宋体" w:eastAsia="宋体" w:cs="宋体"/>
    </w:rPr>
  </w:style>
  <w:style w:type="paragraph" w:customStyle="1" w:styleId="16">
    <w:name w:val="Table Text"/>
    <w:basedOn w:val="1"/>
    <w:semiHidden/>
    <w:qFormat/>
    <w:uiPriority w:val="0"/>
    <w:rPr>
      <w:rFonts w:ascii="Arial" w:hAnsi="Arial" w:eastAsia="Arial" w:cs="Arial"/>
      <w:sz w:val="21"/>
      <w:szCs w:val="21"/>
      <w:lang w:eastAsia="en-US"/>
    </w:rPr>
  </w:style>
  <w:style w:type="character" w:customStyle="1" w:styleId="17">
    <w:name w:val="页眉 Char"/>
    <w:basedOn w:val="10"/>
    <w:link w:val="6"/>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465</Words>
  <Characters>2654</Characters>
  <Lines>22</Lines>
  <Paragraphs>6</Paragraphs>
  <TotalTime>38</TotalTime>
  <ScaleCrop>false</ScaleCrop>
  <LinksUpToDate>false</LinksUpToDate>
  <CharactersWithSpaces>3113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2024-03-05T01:39:04Z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2554A50770FF486888219359D5323CD3_13</vt:lpwstr>
  </property>
</Properties>
</file>