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560"/>
        <w:jc w:val="center"/>
        <w:rPr>
          <w:rFonts w:ascii="黑体" w:hAnsi="黑体" w:eastAsia="黑体"/>
          <w:kern w:val="44"/>
          <w:sz w:val="28"/>
        </w:rPr>
      </w:pPr>
      <w:r>
        <w:rPr>
          <w:rFonts w:hint="eastAsia" w:ascii="黑体" w:hAnsi="黑体" w:eastAsia="黑体"/>
          <w:kern w:val="44"/>
          <w:sz w:val="28"/>
        </w:rPr>
        <w:t>2024年黑龙江省职业教育春季高考</w:t>
      </w:r>
    </w:p>
    <w:p>
      <w:pPr>
        <w:ind w:firstLine="560"/>
        <w:jc w:val="center"/>
        <w:rPr>
          <w:rFonts w:ascii="黑体" w:hAnsi="黑体" w:eastAsia="黑体"/>
          <w:kern w:val="44"/>
          <w:sz w:val="28"/>
        </w:rPr>
      </w:pPr>
      <w:r>
        <w:rPr>
          <w:rFonts w:hint="eastAsia" w:ascii="黑体" w:hAnsi="黑体" w:eastAsia="黑体"/>
          <w:kern w:val="44"/>
          <w:sz w:val="28"/>
        </w:rPr>
        <w:t>机械制造类专业技能操作考试大纲</w:t>
      </w:r>
    </w:p>
    <w:p>
      <w:pPr>
        <w:pStyle w:val="3"/>
        <w:ind w:firstLine="482"/>
        <w:rPr>
          <w:rFonts w:hint="default"/>
        </w:rPr>
      </w:pPr>
      <w:r>
        <w:t>一、考试依据</w:t>
      </w:r>
    </w:p>
    <w:p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1.参照中华人民共和国教育部职业教育与成人教育司颁布的《中等职业学校专业教学标准（试行）》，2017年8月26日发布。</w:t>
      </w:r>
    </w:p>
    <w:p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2.参照中华人民共和国教育部职业教育与成人教育司颁布的《职业教育专业目录（2021年修订）》；职业教育专业简介（2022年修订）。</w:t>
      </w:r>
    </w:p>
    <w:p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3.参照《中华人民共和国职业分类大典(2022年修订）》（职业编码：</w:t>
      </w:r>
      <w:r>
        <w:rPr>
          <w:rStyle w:val="13"/>
          <w:rFonts w:asciiTheme="minorEastAsia" w:hAnsiTheme="minorEastAsia"/>
          <w:sz w:val="24"/>
          <w:szCs w:val="24"/>
        </w:rPr>
        <w:t>6-18-01-0</w:t>
      </w:r>
      <w:r>
        <w:rPr>
          <w:rStyle w:val="13"/>
          <w:rFonts w:hint="eastAsia" w:asciiTheme="minorEastAsia" w:hAnsiTheme="minorEastAsia"/>
          <w:sz w:val="24"/>
          <w:szCs w:val="24"/>
        </w:rPr>
        <w:t>1</w:t>
      </w:r>
      <w:r>
        <w:rPr>
          <w:rFonts w:hint="eastAsia" w:asciiTheme="minorEastAsia" w:hAnsiTheme="minorEastAsia"/>
        </w:rPr>
        <w:t>）的《数控车工》初、中级职业技能标准。</w:t>
      </w:r>
    </w:p>
    <w:p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4.参照《国家职业技能标准(2018年修订）》（职业编码：6-18-01-01）的《车工》初、中级职业技能标准。</w:t>
      </w:r>
    </w:p>
    <w:p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5.参照国家标准GB17421-1/2/4和GB/T 18400.2-2010 (ISO10791-2:2001)精密加工中心检验条件。</w:t>
      </w:r>
    </w:p>
    <w:p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6.参照《中华人民共和国标准化法》最新颁布施行的车工标准与行业标准。</w:t>
      </w:r>
    </w:p>
    <w:p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7.参照车工职业技能等级证书各模块初级认证标准。</w:t>
      </w:r>
    </w:p>
    <w:p>
      <w:pPr>
        <w:spacing w:line="440" w:lineRule="exact"/>
        <w:ind w:firstLine="480"/>
        <w:jc w:val="left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8.机械制造类专业对口涵盖专业范围，如表1所示。</w:t>
      </w:r>
    </w:p>
    <w:p>
      <w:pPr>
        <w:spacing w:line="360" w:lineRule="auto"/>
        <w:ind w:firstLine="480"/>
        <w:jc w:val="center"/>
        <w:rPr>
          <w:szCs w:val="32"/>
        </w:rPr>
      </w:pPr>
      <w:r>
        <w:rPr>
          <w:rFonts w:hint="eastAsia"/>
          <w:szCs w:val="32"/>
        </w:rPr>
        <w:t>表1  机械制造类专业对口涵盖专业范围</w:t>
      </w: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79"/>
        <w:gridCol w:w="2999"/>
        <w:gridCol w:w="29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中等职业教育相关专业</w:t>
            </w:r>
          </w:p>
        </w:tc>
        <w:tc>
          <w:tcPr>
            <w:tcW w:w="0" w:type="auto"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接续高职专科相关专业</w:t>
            </w:r>
          </w:p>
        </w:tc>
        <w:tc>
          <w:tcPr>
            <w:tcW w:w="0" w:type="auto"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接续高职本科专业</w:t>
            </w:r>
          </w:p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接续普通本科专业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7" w:hRule="atLeast"/>
          <w:jc w:val="center"/>
        </w:trPr>
        <w:tc>
          <w:tcPr>
            <w:tcW w:w="0" w:type="auto"/>
            <w:vAlign w:val="center"/>
          </w:tcPr>
          <w:p>
            <w:pPr>
              <w:widowControl/>
              <w:ind w:firstLine="210" w:firstLineChars="100"/>
              <w:jc w:val="left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 xml:space="preserve">机械制造技术660101  </w:t>
            </w:r>
          </w:p>
          <w:p>
            <w:pPr>
              <w:widowControl/>
              <w:ind w:firstLine="210" w:firstLineChars="100"/>
              <w:jc w:val="left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机械加工技术660102</w:t>
            </w:r>
          </w:p>
          <w:p>
            <w:pPr>
              <w:widowControl/>
              <w:ind w:firstLine="210" w:firstLineChars="100"/>
              <w:jc w:val="left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 xml:space="preserve">数控技术应用660103  </w:t>
            </w:r>
          </w:p>
          <w:p>
            <w:pPr>
              <w:widowControl/>
              <w:ind w:firstLine="0" w:firstLineChars="0"/>
              <w:jc w:val="left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增材制造技术应用660107</w:t>
            </w:r>
          </w:p>
          <w:p>
            <w:pPr>
              <w:widowControl/>
              <w:ind w:firstLine="0" w:firstLineChars="0"/>
              <w:jc w:val="left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 xml:space="preserve">  模具制造技术660108</w:t>
            </w:r>
          </w:p>
        </w:tc>
        <w:tc>
          <w:tcPr>
            <w:tcW w:w="0" w:type="auto"/>
            <w:vAlign w:val="center"/>
          </w:tcPr>
          <w:p>
            <w:pPr>
              <w:widowControl/>
              <w:ind w:firstLine="0" w:firstLineChars="0"/>
              <w:jc w:val="left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机械设计与制造460101</w:t>
            </w:r>
          </w:p>
          <w:p>
            <w:pPr>
              <w:widowControl/>
              <w:ind w:firstLine="0" w:firstLineChars="0"/>
              <w:jc w:val="left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数字化设计与制造技术460102</w:t>
            </w:r>
          </w:p>
          <w:p>
            <w:pPr>
              <w:widowControl/>
              <w:ind w:firstLine="0" w:firstLineChars="0"/>
              <w:jc w:val="left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数控技术460103</w:t>
            </w:r>
          </w:p>
          <w:p>
            <w:pPr>
              <w:widowControl/>
              <w:ind w:firstLine="0" w:firstLineChars="0"/>
              <w:jc w:val="left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机械制造及自动化460104</w:t>
            </w:r>
          </w:p>
          <w:p>
            <w:pPr>
              <w:widowControl/>
              <w:ind w:firstLine="0" w:firstLineChars="0"/>
              <w:jc w:val="left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材料成型及控制技术460107</w:t>
            </w:r>
          </w:p>
        </w:tc>
        <w:tc>
          <w:tcPr>
            <w:tcW w:w="0" w:type="auto"/>
            <w:vAlign w:val="center"/>
          </w:tcPr>
          <w:p>
            <w:pPr>
              <w:widowControl/>
              <w:ind w:firstLine="0" w:firstLineChars="0"/>
              <w:jc w:val="left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机械设计制造及自动化260101</w:t>
            </w:r>
          </w:p>
          <w:p>
            <w:pPr>
              <w:widowControl/>
              <w:ind w:firstLine="0" w:firstLineChars="0"/>
              <w:jc w:val="left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数控技术260103</w:t>
            </w:r>
          </w:p>
          <w:p>
            <w:pPr>
              <w:widowControl/>
              <w:ind w:firstLine="0" w:firstLineChars="0"/>
              <w:jc w:val="left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材料成型及控制工程260106</w:t>
            </w:r>
          </w:p>
        </w:tc>
      </w:tr>
    </w:tbl>
    <w:p>
      <w:pPr>
        <w:pStyle w:val="3"/>
        <w:ind w:firstLine="482"/>
        <w:rPr>
          <w:rFonts w:hint="default"/>
        </w:rPr>
      </w:pPr>
      <w:r>
        <w:t>二、考试方式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/>
        </w:rPr>
        <w:t>2024年黑龙江省职业教育春季高考</w:t>
      </w:r>
      <w:r>
        <w:rPr>
          <w:rFonts w:hint="eastAsia" w:asciiTheme="minorEastAsia" w:hAnsiTheme="minorEastAsia"/>
        </w:rPr>
        <w:t>机械制造类专业技能考试为实际操作考试方式，考试总分为200分，实操项目随机抽取，考试时间为60分钟。</w:t>
      </w:r>
    </w:p>
    <w:p>
      <w:pPr>
        <w:pStyle w:val="3"/>
        <w:ind w:firstLine="482"/>
        <w:rPr>
          <w:rFonts w:hint="default"/>
        </w:rPr>
      </w:pPr>
      <w:r>
        <w:t>三、考试范围和要求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以中等职业教育毕业生从业能力为立足点，实现技能考试内容与中职毕业生从业技能的需要相互兼容，在识记、理解、应用、综合运用各个层面，充分融合专业知识和技能操作的职业技能要素，将专业知识融入技能操作考试内容。</w:t>
      </w:r>
    </w:p>
    <w:p>
      <w:pPr>
        <w:spacing w:line="440" w:lineRule="exact"/>
        <w:ind w:firstLine="482"/>
        <w:rPr>
          <w:rFonts w:asciiTheme="minorEastAsia" w:hAnsiTheme="minorEastAsia"/>
          <w:b/>
        </w:rPr>
      </w:pPr>
      <w:r>
        <w:rPr>
          <w:rFonts w:hint="eastAsia" w:asciiTheme="minorEastAsia" w:hAnsiTheme="minorEastAsia"/>
          <w:b/>
        </w:rPr>
        <w:t>考核项目分为数控车床和普通车床两个专业方向。</w:t>
      </w:r>
    </w:p>
    <w:p>
      <w:pPr>
        <w:spacing w:line="440" w:lineRule="exact"/>
        <w:ind w:firstLine="482"/>
        <w:rPr>
          <w:rFonts w:asciiTheme="minorEastAsia" w:hAnsiTheme="minorEastAsia"/>
          <w:b/>
        </w:rPr>
      </w:pPr>
      <w:r>
        <w:rPr>
          <w:rFonts w:hint="eastAsia" w:asciiTheme="minorEastAsia" w:hAnsiTheme="minorEastAsia"/>
          <w:b/>
        </w:rPr>
        <w:t>（一）数控车床考核范围及要求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技能模块1  机械制图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1.知识与技能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（1）能结合机械制图国家标准和行业制图规范识读和绘制图样，并具备执行、分析、解释与应用相关标准的能力。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（2）能够比较正确而熟练地使用绘图工具和仪器进行手工绘图。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（3）具备较强的空间立体感和三维形体的构形分析、表达能力。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（4）能够识读中等复杂程度的零件图和装配图。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（5）能构建良好的空间思维，培养学生良好的沟通和表达能力。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（6）能根据技术资料，规范绘制零件图及三视图。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（7）能根据考试要求，规范填写相关内容。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2.设备与材料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（1）机械制图常见零件模型，可拆分组合件模型，整体零件半剖视图模型、局部剖视图模型。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（2）机械制图绘图工具（圆规、三角板、铅笔、橡皮、量角器等），测量工具（游标卡尺、千分尺、平台尺等）。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3.操作规范要求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（1）遵守数控加工操作规范和文明生产要求，安全用电、注意防火、防止出现人身伤害及设备事故。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（2）正确穿着佩戴个人防护用品，包括工作服、工作鞋、各类手套等。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（3）零件模型、绘图工具、工量具、物品等摆放整齐。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（4）操作过程中应保持设备与工量具的清洁，保证工作场地整洁有序。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（5）正确处置操作中出现的废弃物。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（6）规范且熟练使用零件模型、绘图工具及测量工具。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技能模块2  公差测量与配合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1.知识与技能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（1）掌握基本尺寸公差与配合的概念。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（2）掌握常用尺寸公差带与配合的应用。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（3）掌握各种零件尺寸公差的检测方法。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（4）掌握各种公差的误差定义及计算方法。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（5）能运用测量数据处理技巧进行数据分析。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（6）能正确选择尺寸的检测与计量器具。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（7）能正确选择测量方法与完成测量数据的处理。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（8）能根据技术资料，规范使用测量工具并完成数据统计。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（9）能根据考试要求，规范填写相关内容。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2.设备与材料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（1）常见零件模型，可拆分组合件模型，整体零件半剖视图模型、局部剖视图模型。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（2）测量工具（游标卡尺、千分尺、平台尺等）。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3.操作规范要求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（1）遵守数控加工操作规范和文明生产要求，安全用电、注意防火、防止出现人身伤害及设备事故。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（2）正确穿着佩戴个人防护用品，包括工作服、工作鞋、各类手套等。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（3）零件模型、测量工具、物品等摆放整齐。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（4）操作过程中应保持设备与工量具的清洁，保证工作场地整洁有序。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（5）正确处置操作中出现的废弃物。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（6）规范且熟练使用零件模型和测量工具。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技能模块3  机械制造技术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1.知识与技能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（1）掌握机械制造的生产类型的工艺特点。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（2）掌握零件金属切削刀具及工件的安装与夹具等基本知识。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（3）掌握刀具和零件材料的要求与特点。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（4）掌握车削加工的加工性质、特点及范围。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（5）能正确分析加工零件的工艺特点进行数据处理。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（6）能正确选择刀具和零件材料。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（7）能正确选择测量方法与完成测量数据的处理。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（8）能根据技术资料，规范使用测量工具并完成数据统计。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（9）能根据考试要求，规范填写相关内容。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2.设备与材料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（1）常见零件模型，可拆分组合件模型，整体零件半剖视图模型、局部剖视图模型。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（2）测量工具（游标卡尺、千分尺、平台尺等。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（3）常用数控机床（配备华中、FANUC、西门子、德玛吉系统）。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（4）常见车削刀具，夹具及零件毛坯。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3.操作规范要求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（1）遵守数控加工操作规范和文明生产要求，安全用电、注意防火、防止出现人身伤害及设备事故。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（2）正确穿着佩戴个人防护用品，包括工作服、工作鞋、各类手套等。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（3）刀具、零件等物品等摆放整齐。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（4）操作过程中应保持设备与工量具的清洁，保证工作场地整洁有序。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（5）正确处置操作中出现的废弃物。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（6）规范且熟练使用设备与工量具。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技能模块4  CAD/CAM应用技术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1.知识与技能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（1）掌握常用绘图软件的基本操作。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（2）掌握机械零件CAD的二维及三维画法。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（3）能独立完成车削零件二维及三维图形的绘制。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（4）能熟练常用绘图软件的基本操作。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（5）能根据技术资料，规范使用测量工具并完成数据统计。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（6）能根据考试要求，规范填写相关内容。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2.设备与材料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（1）常见零件模型，可拆分组合件模型，整体零件半剖视图模型、局部剖视图模型。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（2）配备常见绘图软件的计算机设备（CAD、UG、CAXA等）。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3.操作规范要求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（1）遵守计算机设备操作规范和文明生产要求，安全用电、注意防火、防止出现人身伤害及设备事故。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（2）正确穿着佩戴个人防护用品，包括工作服、工作鞋、各类手套等。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（3）操作过程中应保持设备与工量具的清洁，保证工作场地整洁有序。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（4）正确处置操作中出现的废弃物。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（5）规范且熟练使用计算机设备。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技能模块5  数控机床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1.知识与技能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（1）掌握常用数控机床的机械结构。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（2）掌握常用数控机床的电气控制原理。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（3）掌握数控设备的辅属装置功能及原理。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（4）掌握常用数控机床相关使用工具的选择及使用。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（5）能正确认识常见数控机床的机械结构。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（6）能正确了解数控设备的各部分装置功能。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（7）能正确选择常用数控机床相关使用工具及使用。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（8）能根据考试要求，规范填写相关内容。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2.设备与材料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（1）常用数控机床（配备华中、FANUC系统）。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3.操作规范要求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（1）遵守数控机床安全操作规范和文明生产要求，安全用电、注意防火、防止出现人身伤害及设备事故。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（2）正确穿着佩戴个人防护用品，包括工作服、工作鞋、各类手套等。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（3）工量具等物品等摆放整齐。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（4）操作过程中应保持设备与工量具的清洁，保证工作场地整洁有序。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（5）正确处置操作中出现的废弃物。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（6）规范且熟练完成数控机床调试工作。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技能模块6  数控机床故障诊断与维护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1.知识与技能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（1）掌握常用数控机床的维护方法。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</w:t>
      </w:r>
      <w:r>
        <w:rPr>
          <w:rFonts w:asciiTheme="minorEastAsia" w:hAnsiTheme="minorEastAsia"/>
        </w:rPr>
        <w:t>2</w:t>
      </w:r>
      <w:r>
        <w:rPr>
          <w:rFonts w:hint="eastAsia" w:asciiTheme="minorEastAsia" w:hAnsiTheme="minorEastAsia"/>
        </w:rPr>
        <w:t>）掌握常用数控机床的维修方法。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</w:t>
      </w:r>
      <w:r>
        <w:rPr>
          <w:rFonts w:asciiTheme="minorEastAsia" w:hAnsiTheme="minorEastAsia"/>
        </w:rPr>
        <w:t>3</w:t>
      </w:r>
      <w:r>
        <w:rPr>
          <w:rFonts w:hint="eastAsia" w:asciiTheme="minorEastAsia" w:hAnsiTheme="minorEastAsia"/>
        </w:rPr>
        <w:t>）掌握正确数控设备的管理方法。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</w:t>
      </w:r>
      <w:r>
        <w:rPr>
          <w:rFonts w:asciiTheme="minorEastAsia" w:hAnsiTheme="minorEastAsia"/>
        </w:rPr>
        <w:t>4</w:t>
      </w:r>
      <w:r>
        <w:rPr>
          <w:rFonts w:hint="eastAsia" w:asciiTheme="minorEastAsia" w:hAnsiTheme="minorEastAsia"/>
        </w:rPr>
        <w:t>）掌握常用数控机床维护、维修量具、工具的选择及使用。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（5）能根据工作任务要求完成数控机床的维修维护。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（6）能根据数控机床维修手册初步分析、判断设备故障。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（7）能根据数控机床维护、维修文件进行设备管理。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（8）能根据数控机床维护维修规范正确选择使用维护维修量具、工具。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（9）能正确选择常用数控机床相关使用工具及使用。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（10）能根据考试要求，规范填写相关内容。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2.设备与材料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（1）常用数控机床（配备华中、FANUC）。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（2）常用数控机床维护、维修量具、工具。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3.操作规范要求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（1）遵守数控机床安全操作规范和文明生产要求，安全用电、注意防火、防止出现人身伤害及设备事故。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（2）正确穿着佩戴个人防护用品，包括工作服、工作鞋、各类手套等。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（3）数控机床设备与维护、维修量具、工具等物品等摆放整齐。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（4）操作过程中应保持数控机床设备与维护、维修量具、工具的清洁，保证工作场地整洁有序。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（5）正确处置操作中出现的废弃物。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（6）规范且熟练完成数控机床调试工作。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技能模块7  数控加工工艺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1.知识与技能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（1）掌握数控车床零件的结构。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（2）掌握数控车图样检查过程。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（3）掌握数控车床图样分析的方法。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（4）掌握刀具和零件材料的要求与特点。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（5）掌握车削加工的加工性质、特点及范围。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（6）能正确分析加工零件的工艺特点进行数据处理。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（7）能正确选择刀具和零件材料。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（8）能正确选择加工方法与工艺路线的确定。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（9）能正确完成加工工艺卡、工艺过程卡及工序卡的填写。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（10）能根据技术资料，规范加工方法并完成工艺路线的确定。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（11）能根据考试要求，规范填写相关内容。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2.设备与材料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（1）常见零件模型，可拆分组合件模型，整体零件半剖视图模型、局部剖视图模型。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（2）测量工具（游标卡尺、千分尺、平台尺）等。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3.操作规范要求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（1）遵守数控加工操作规范和文明生产要求，安全用电、注意防火、防止出现人身伤害及设备事故。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（2）正确穿着佩戴个人防护用品，包括工作服、工作鞋、各类手套等。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（3）零件、测量工具及工艺卡片等物品等摆放整齐。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（4）操作过程中应保持设备与工量具的清洁，保证工作场地整洁有序。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（5）正确处置操作中出现的废弃物。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（6）规范且熟练使用设备与工量具。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技能模块8  数控车削编程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1.知识与技能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（1）掌握常见数控车床加工零件结构分析方法。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（2）掌握常见数控车床加工零件加工方式的选择。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（3）掌握常见数控车床加工零件结构指令的编程方法。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（5）能正确完成数控车床加工零件结构分析。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（6）能正确完成数控车床加工零件加工方式确定。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（7）能正确完成数控车床加工零件结构指令的编程。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（8）能根据考试要求，规范填写相关内容。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2.设备与材料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（1）常用数控机床（配备华中、FANUC系统）。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3.操作规范要求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（1）遵守数控机床安全操作规范和文明生产要求，安全用电、注意防火、防止出现人身伤害及设备事故。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（2）正确穿着佩戴个人防护用品，包括工作服、工作鞋、各类手套等。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（3）工量具等物品等摆放整齐。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（4）操作过程中应保持设备与工量具的清洁，保证工作场地整洁有序。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（5）正确处置操作中出现的废弃物。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（6）规范且熟练完成数控机床调试工作。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技能模块9  数控车削加工操作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1.知识与技能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（1）掌握常见数控车床加工操作方法。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（2）掌握常见数控车床加工刀具及零件毛坯的选择。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（3）掌握常见数控车床加工零件结构指令的程序输入方法。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（5）能正确完成数控车床加工刀具及夹具的使用。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（6）能正确完成数控车床加工零件拆装。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（7）能正确完成数控车床操作进行零件加工。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（8）能根据考试要求，规范填写相关内容。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2.设备与材料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（1）常用数控机床（配备华中、FANUC系统）。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（2）数控车床刀具，夹具及毛坯等。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（3）测量工具（游标卡尺、千分尺、平台尺）等。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3.操作规范要求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（1）遵守数控机床安全操作规范和文明生产要求，安全用电、注意防火、防止出现人身伤害及设备事故。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（2）正确穿着佩戴个人防护用品，包括工作服、工作鞋、各类手套等。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（3）刀具、零件、毛坯及工量具等物品等摆放整齐。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（4）操作过程中应保持设备与加工工具的清洁，保证工作场地整洁有序。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（5）正确处置操作中出现的废弃物。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（6）规范且熟练完成数控机床调试工作。</w:t>
      </w:r>
    </w:p>
    <w:p>
      <w:pPr>
        <w:spacing w:line="440" w:lineRule="exact"/>
        <w:ind w:firstLine="482"/>
        <w:rPr>
          <w:rFonts w:asciiTheme="minorEastAsia" w:hAnsiTheme="minorEastAsia"/>
          <w:b/>
        </w:rPr>
      </w:pPr>
      <w:r>
        <w:rPr>
          <w:rFonts w:hint="eastAsia" w:asciiTheme="minorEastAsia" w:hAnsiTheme="minorEastAsia"/>
          <w:b/>
        </w:rPr>
        <w:t>（二）普通车床考核范围及要求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技能模块1  普通车床CA6140A车床基本操作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1.知识与技能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（1）能操作车床的手轮</w:t>
      </w:r>
      <w:r>
        <w:rPr>
          <w:rFonts w:asciiTheme="minorEastAsia" w:hAnsiTheme="minorEastAsia"/>
        </w:rPr>
        <w:t>及手柄变换主轴转速、进给量及螺距</w:t>
      </w:r>
      <w:r>
        <w:rPr>
          <w:rFonts w:hint="eastAsia" w:asciiTheme="minorEastAsia" w:hAnsiTheme="minorEastAsia"/>
        </w:rPr>
        <w:t>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（2）</w:t>
      </w:r>
      <w:r>
        <w:rPr>
          <w:rFonts w:asciiTheme="minorEastAsia" w:hAnsiTheme="minorEastAsia"/>
        </w:rPr>
        <w:t>能对车床各润滑点进行润滑</w:t>
      </w:r>
      <w:r>
        <w:rPr>
          <w:rFonts w:hint="eastAsia" w:asciiTheme="minorEastAsia" w:hAnsiTheme="minorEastAsia"/>
        </w:rPr>
        <w:t>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（3）</w:t>
      </w:r>
      <w:r>
        <w:rPr>
          <w:rFonts w:asciiTheme="minorEastAsia" w:hAnsiTheme="minorEastAsia"/>
        </w:rPr>
        <w:t>能对卡盘、床鞍、中小滑板、方刀架、尾座等进行调整和保养</w:t>
      </w:r>
      <w:r>
        <w:rPr>
          <w:rFonts w:hint="eastAsia" w:asciiTheme="minorEastAsia" w:hAnsiTheme="minorEastAsia"/>
        </w:rPr>
        <w:t>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（4）</w:t>
      </w:r>
      <w:r>
        <w:rPr>
          <w:rFonts w:asciiTheme="minorEastAsia" w:hAnsiTheme="minorEastAsia"/>
        </w:rPr>
        <w:t>能根据工件材料和加工性质选择刀具材料</w:t>
      </w:r>
      <w:r>
        <w:rPr>
          <w:rFonts w:hint="eastAsia" w:asciiTheme="minorEastAsia" w:hAnsiTheme="minorEastAsia"/>
        </w:rPr>
        <w:t>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（5）</w:t>
      </w:r>
      <w:r>
        <w:rPr>
          <w:rFonts w:asciiTheme="minorEastAsia" w:hAnsiTheme="minorEastAsia"/>
        </w:rPr>
        <w:t>能对</w:t>
      </w:r>
      <w:r>
        <w:rPr>
          <w:rFonts w:hint="eastAsia" w:asciiTheme="minorEastAsia" w:hAnsiTheme="minorEastAsia"/>
        </w:rPr>
        <w:t>90</w:t>
      </w:r>
      <w:r>
        <w:rPr>
          <w:rFonts w:asciiTheme="minorEastAsia" w:hAnsiTheme="minorEastAsia"/>
        </w:rPr>
        <w:t>°、</w:t>
      </w:r>
      <w:r>
        <w:rPr>
          <w:rFonts w:hint="eastAsia" w:asciiTheme="minorEastAsia" w:hAnsiTheme="minorEastAsia"/>
        </w:rPr>
        <w:t>45</w:t>
      </w:r>
      <w:r>
        <w:rPr>
          <w:rFonts w:asciiTheme="minorEastAsia" w:hAnsiTheme="minorEastAsia"/>
        </w:rPr>
        <w:t>°</w:t>
      </w:r>
      <w:r>
        <w:rPr>
          <w:rFonts w:hint="eastAsia" w:asciiTheme="minorEastAsia" w:hAnsiTheme="minorEastAsia"/>
        </w:rPr>
        <w:t>、60</w:t>
      </w:r>
      <w:r>
        <w:rPr>
          <w:rFonts w:asciiTheme="minorEastAsia" w:hAnsiTheme="minorEastAsia"/>
        </w:rPr>
        <w:t>°</w:t>
      </w:r>
      <w:r>
        <w:rPr>
          <w:rFonts w:hint="eastAsia" w:asciiTheme="minorEastAsia" w:hAnsiTheme="minorEastAsia"/>
        </w:rPr>
        <w:t>螺纹</w:t>
      </w:r>
      <w:r>
        <w:rPr>
          <w:rFonts w:asciiTheme="minorEastAsia" w:hAnsiTheme="minorEastAsia"/>
        </w:rPr>
        <w:t>及切断刀</w:t>
      </w:r>
      <w:r>
        <w:rPr>
          <w:rFonts w:hint="eastAsia" w:asciiTheme="minorEastAsia" w:hAnsiTheme="minorEastAsia"/>
        </w:rPr>
        <w:t>的</w:t>
      </w:r>
      <w:r>
        <w:rPr>
          <w:rFonts w:asciiTheme="minorEastAsia" w:hAnsiTheme="minorEastAsia"/>
        </w:rPr>
        <w:t>装夹</w:t>
      </w:r>
      <w:r>
        <w:rPr>
          <w:rFonts w:hint="eastAsia" w:asciiTheme="minorEastAsia" w:hAnsiTheme="minorEastAsia"/>
        </w:rPr>
        <w:t>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（6）</w:t>
      </w:r>
      <w:r>
        <w:rPr>
          <w:rFonts w:asciiTheme="minorEastAsia" w:hAnsiTheme="minorEastAsia"/>
        </w:rPr>
        <w:t>能选择和使用车削轴类工件的可转位车刀</w:t>
      </w:r>
      <w:r>
        <w:rPr>
          <w:rFonts w:hint="eastAsia" w:asciiTheme="minorEastAsia" w:hAnsiTheme="minorEastAsia"/>
        </w:rPr>
        <w:t>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（7）相关安全注意事项必须符合国家规定的《机械加工安全生产管理制度》。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（8）能正确使用工夹量具。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2.设备与材料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（1）CA6140A普通车床实训设备。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（2）高速钢材料的刀方、刀条、钻头、中心钻、滚花刀和普通刀夹及所需耗材。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（3）内六角扳手、卡盘扳手、刀架扳手、紫铜棒、1mm铜皮、钻夹头0-16mm、钻夹头扳手、莫氏过渡套2-4号、斜铁、铁锤、记号笔等工具。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（4）游标卡尺、外径千分尺、钢板尺、深度尺、螺纹千分尺、螺纹规、表面粗糙度样板的量具。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（5）考核毛坯材料和考核图纸各一份。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3.操作规范要求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（1）遵守机械加工安全操作规范和文明生产要求，防止出现人身伤害及设备事故。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（2）正确穿着佩戴个人防护用品，包括工作服、防砸鞋、各类防护镜等。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（3）设备、零件、工量具、物品等摆放整齐。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（4）操作过程中应保持设备与工量具的清洁，保证工作场地整洁有序。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（5）正确处置操作中出现的废弃物。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（6）没有违反安全操作规程现象，尊重裁判。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技能模块2  普通车床外圆的加工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1.知识与技能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（1）能正确的分析图纸和合理编排工艺。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（2）能正确的选择对刀方法。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（3）能合理的选择进给量和机床转速。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（4）能正确并合理的装夹刀具，如装夹长度和角度等问题。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（5）能合理安排粗车和精车加工。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（6）能正确保证零件尺寸精度和表面粗糙度要求。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2.设备与材料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（1）CA6140A普通车床实训设备。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（2）高速钢材料的刀方、刀条、钻头、中心钻、滚花刀和普通刀夹及所需耗材。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（3）内六角扳手、卡盘扳手、刀架扳手、紫铜棒、1mm铜皮、钻夹头0-16mm、钻夹头扳手、莫氏过渡套2-4号、斜铁、铁锤、记号笔等工具。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（4）游标卡尺、外径千分尺、钢板尺、深度尺、螺纹千分尺、螺纹规、表面粗糙度样板的量具。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（5）考核毛坯材料和考核图纸各一份。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3.操作规范要求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（1）遵守机械加工安全操作规范和文明生产要求，防止出现人身伤害及设备事故。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（2）正确穿着佩戴个人防护用品，包括工作服、防砸鞋、各类防护镜等。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（3）设备、零件、工量具、物品等摆放整齐。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（4）操作过程中应保持设备与工量具的清洁，保证工作场地整洁有序。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（5）正确处置操作中出现的废弃物。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（6）没有违反安全操作规程现象，尊重裁判。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技能模块3  普通车床端面、倒角和总长加工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1.知识与技能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（1）能正确的分析图纸和合理编排工艺。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（2）能正确的选择对刀方法。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（3）能合理的选择进给量和机床转速。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（4）能正确并合理的装夹刀具，如装夹长度和角度等问题。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（5）能正确控制倒角时的尺寸要求。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（6）能正确保证零件长度精度和表面粗糙度要求。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2.设备与材料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（1）CA6140A普通车床实训设备。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（2）高速钢材料的刀方、刀条、钻头、中心钻、滚花刀和普通刀夹及所需耗材。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（3）内六角扳手、卡盘扳手、刀架扳手、紫铜棒、1mm铜皮、钻夹头0-16mm、钻夹头扳手、莫氏过渡套2-4号、斜铁、铁锤、记号笔等工具。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（4）游标卡尺、外径千分尺、钢板尺、深度尺、螺纹千分尺、螺纹规、表面粗糙度样板的量具。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（5）考核毛坯材料和考核图纸各一份。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3.操作规范要求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（1）遵守机械加工安全操作规范和文明生产要求，防止出现人身伤害及设备事故。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（2）正确穿着佩戴个人防护用品，包括工作服、防砸鞋、各类防护镜等。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（3）设备、零件、工量具、物品等摆放整齐。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（4）操作过程中应保持设备与工量具的清洁，保证工作场地整洁有序。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（5）正确处置操作中出现的废弃物。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（6）没有违反安全操作规程现象，尊重裁判。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技能模块4  普通车床槽的加工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1.知识与技能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（1）能够正确了解沟槽的种类。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（2）能够正确掌握车槽刀的几何参数。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（3）掌握车沟槽的加工方法。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（4）能够进行沟槽的检测及质量分析。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2.设备与材料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（1）CA6140A普通车床实训设备。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（2）高速钢材料的刀方、刀条、钻头、中心钻、滚花刀和普通刀夹及所需耗材。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（3）内六角扳手、卡盘扳手、刀架扳手、紫铜棒、1mm铜皮、钻夹头0-16mm、钻夹头扳手、莫氏过渡套2-4号、斜铁、铁锤、记号笔等工具。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（4）游标卡尺、外径千分尺、钢板尺、深度尺、螺纹千分尺、螺纹规、表面粗糙度样板的量具。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（5）考核毛坯材料和考核图纸各一份。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3.操作规范要求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（1）遵守机械加工安全操作规范和文明生产要求，防止出现人身伤害及设备事故。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（2）正确穿着佩戴个人防护用品，包括工作服、防砸鞋、各类防护镜等。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（3）设备、零件、工量具、物品等摆放整齐。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（4）操作过程中应保持设备与工量具的清洁，保证工作场地整洁有序。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（5）正确处置操作中出现的废弃物。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（6）没有违反安全操作规程现象，尊重裁判。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技能模块5  普通车床钻孔的加工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1.知识与技能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（1）能认识麻花钻的结构并会选用其几何参数。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（2）能够具备麻花钻的检测技能。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（3）能会选择用麻花钻钻孔时的切削用量和切削液。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（4）能够了解钻头的种类。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（5）能够处理钻孔时产生的异常情况。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（6）能分析钻孔的质量。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（7）能够掌握不通孔的深度尺寸的控制。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2.设备与材料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（1）CA6140A普通车床实训设备。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（2）高速钢材料的刀方、刀条、钻头、中心钻、滚花刀和普通刀夹及所需耗材。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（3）内六角扳手、卡盘扳手、刀架扳手、紫铜棒、1mm铜皮、钻夹头0-16mm、钻夹头扳手、莫氏过渡套2-4号、斜铁、铁锤、记号笔等工具。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（4）游标卡尺、外径千分尺、钢板尺、深度尺、螺纹千分尺、螺纹规、表面粗糙度样板的量具。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（5）考核毛坯材料和考核图纸各一份。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3.操作规范要求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（1）遵守机械加工安全操作规范和文明生产要求，防止出现人身伤害及设备事故。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（2）正确穿着佩戴个人防护用品，包括工作服、防砸鞋、各类防护镜等。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（3）设备、零件、工量具、物品等摆放整齐。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（4）操作过程中应保持设备与工量具的清洁，保证工作场地整洁有序。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（5）正确处置操作中出现的废弃物。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（6）没有违反安全操作规程现象，尊重裁判。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技能模块6  普通车床螺纹的加工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1.知识与技能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（1）能认知普通螺纹的主要参数。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（2）能确定螺纹的类型。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（3）能解释常用螺纹的标记。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（4）能选用螺纹车刀对工件进行车削。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（5）能够判断是否乱牙。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（6）能够熟练掌握手柄及手轮位置的变换。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（7）能够熟练、协调地操纵开合螺母。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（8）能够使用合理的背吃刀量。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2.设备与材料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（1）CA6140A普通车床实训设备。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（2）高速钢材料的刀方、刀条、钻头、中心钻、滚花刀和普通刀夹及所需耗材。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（3）内六角扳手、卡盘扳手、刀架扳手、紫铜棒、1mm铜皮、钻夹头0-16mm、钻夹头扳手、莫氏过渡套2-4号、斜铁、铁锤、记号笔等工具。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（4）游标卡尺、外径千分尺、钢板尺、深度尺、螺纹千分尺、螺纹规、表面粗糙度样板的量具。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（5）考核毛坯材料和考核图纸各一份。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3.操作规范要求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（1）遵守机械加工安全操作规范和文明生产要求，防止出现人身伤害及设备事故。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（2）正确穿着佩戴个人防护用品，包括工作服、防砸鞋、各类防护镜等。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（3）设备、零件、工量具、物品等摆放整齐。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（4）操作过程中应保持设备与工量具的清洁，保证工作场地整洁有序。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（5）正确处置操作中出现的废弃物。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（6）没有违反安全操作规程现象，尊重裁判。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技能模块7  普通车床滚花的加工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1.知识与技能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（1）能正确选用、装夹滚花刀。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（2）确定滚花前工件的直径。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（3）能掌握滚花时的工作要点，具备滚花的车削技能。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（4）遵守滚花时的安全技术规程。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（5）能够对滚花件上的乱纹进行质量分析，并具有预防乱纹的措施。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（6）能够使用合理的背吃刀量。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2.设备与材料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（1）CA6140A普通车床实训设备。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（2）高速钢材料的刀方、刀条、钻头、中心钻、滚花刀和普通刀夹及所需耗材。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（3）内六角扳手、卡盘扳手、刀架扳手、紫铜棒、1mm铜皮、钻夹头0-16mm、钻夹头扳手、莫氏过渡套2-4号、斜铁、铁锤、记号笔等工具。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（4）游标卡尺、外径千分尺、钢板尺、深度尺、螺纹千分尺、螺纹规、表面粗糙度样板的量具。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（5）考核毛坯材料和考核图纸各一份。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3.操作规范要求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（1）遵守机械加工安全操作规范和文明生产要求，防止出现人身伤害及设备事故。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（2）正确穿着佩戴个人防护用品，包括工作服、防砸鞋、各类防护镜等。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（3）设备、零件、工量具、物品等摆放整齐。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（4）操作过程中应保持设备与工量具的清洁，保证工作场地整洁有序。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（5）正确处置操作中出现的废弃物。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（6）没有违反安全操作规程现象，尊重裁判。</w:t>
      </w:r>
    </w:p>
    <w:p>
      <w:pPr>
        <w:pStyle w:val="3"/>
        <w:ind w:firstLine="482"/>
        <w:rPr>
          <w:rFonts w:hint="default"/>
        </w:rPr>
      </w:pPr>
      <w:r>
        <w:t>四、考核项目及权重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结合考试范围给定2024年考核项目及权重，如表2所示。</w:t>
      </w:r>
    </w:p>
    <w:p>
      <w:pPr>
        <w:spacing w:line="440" w:lineRule="exact"/>
        <w:ind w:firstLine="482"/>
        <w:jc w:val="center"/>
        <w:rPr>
          <w:rFonts w:asciiTheme="minorEastAsia" w:hAnsiTheme="minorEastAsia"/>
          <w:b/>
        </w:rPr>
      </w:pPr>
      <w:r>
        <w:rPr>
          <w:rFonts w:hint="eastAsia" w:asciiTheme="minorEastAsia" w:hAnsiTheme="minorEastAsia"/>
          <w:b/>
        </w:rPr>
        <w:t>表2 2024年考核项目及权重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709"/>
        <w:gridCol w:w="1750"/>
        <w:gridCol w:w="2361"/>
        <w:gridCol w:w="567"/>
        <w:gridCol w:w="567"/>
        <w:gridCol w:w="24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  <w:tblHeader/>
        </w:trPr>
        <w:tc>
          <w:tcPr>
            <w:tcW w:w="817" w:type="dxa"/>
            <w:vAlign w:val="center"/>
          </w:tcPr>
          <w:p>
            <w:pPr>
              <w:ind w:firstLine="0" w:firstLineChars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考核项目</w:t>
            </w:r>
          </w:p>
        </w:tc>
        <w:tc>
          <w:tcPr>
            <w:tcW w:w="709" w:type="dxa"/>
            <w:vAlign w:val="center"/>
          </w:tcPr>
          <w:p>
            <w:pPr>
              <w:ind w:firstLine="0" w:firstLineChars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考核时间</w:t>
            </w:r>
          </w:p>
        </w:tc>
        <w:tc>
          <w:tcPr>
            <w:tcW w:w="4111" w:type="dxa"/>
            <w:gridSpan w:val="2"/>
            <w:vAlign w:val="center"/>
          </w:tcPr>
          <w:p>
            <w:pPr>
              <w:ind w:firstLine="0" w:firstLineChars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考核内容</w:t>
            </w:r>
          </w:p>
        </w:tc>
        <w:tc>
          <w:tcPr>
            <w:tcW w:w="1134" w:type="dxa"/>
            <w:gridSpan w:val="2"/>
            <w:vAlign w:val="center"/>
          </w:tcPr>
          <w:p>
            <w:pPr>
              <w:ind w:firstLine="0" w:firstLineChars="0"/>
              <w:jc w:val="center"/>
              <w:rPr>
                <w:b/>
              </w:rPr>
            </w:pPr>
            <w:r>
              <w:rPr>
                <w:b/>
              </w:rPr>
              <w:t>权重</w:t>
            </w:r>
          </w:p>
        </w:tc>
        <w:tc>
          <w:tcPr>
            <w:tcW w:w="2471" w:type="dxa"/>
            <w:vAlign w:val="center"/>
          </w:tcPr>
          <w:p>
            <w:pPr>
              <w:ind w:firstLine="0" w:firstLineChars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器材设备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  <w:tblHeader/>
        </w:trPr>
        <w:tc>
          <w:tcPr>
            <w:tcW w:w="9242" w:type="dxa"/>
            <w:gridSpan w:val="7"/>
            <w:vAlign w:val="center"/>
          </w:tcPr>
          <w:p>
            <w:pPr>
              <w:ind w:firstLine="0" w:firstLineChars="0"/>
              <w:jc w:val="center"/>
              <w:rPr>
                <w:b/>
              </w:rPr>
            </w:pPr>
            <w:r>
              <w:rPr>
                <w:b/>
              </w:rPr>
              <w:t>考核项目：数控车床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817" w:type="dxa"/>
            <w:vMerge w:val="restart"/>
            <w:vAlign w:val="center"/>
          </w:tcPr>
          <w:p>
            <w:pPr>
              <w:spacing w:line="320" w:lineRule="exact"/>
              <w:ind w:firstLine="0" w:firstLineChars="0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数控</w:t>
            </w:r>
          </w:p>
          <w:p>
            <w:pPr>
              <w:spacing w:line="320" w:lineRule="exact"/>
              <w:ind w:firstLine="0" w:firstLineChars="0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车床</w:t>
            </w:r>
          </w:p>
        </w:tc>
        <w:tc>
          <w:tcPr>
            <w:tcW w:w="709" w:type="dxa"/>
            <w:vMerge w:val="restart"/>
            <w:vAlign w:val="center"/>
          </w:tcPr>
          <w:p>
            <w:pPr>
              <w:spacing w:line="320" w:lineRule="exact"/>
              <w:ind w:firstLine="0" w:firstLineChars="0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60</w:t>
            </w:r>
          </w:p>
          <w:p>
            <w:pPr>
              <w:spacing w:line="320" w:lineRule="exact"/>
              <w:ind w:firstLine="0" w:firstLineChars="0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分钟</w:t>
            </w:r>
          </w:p>
        </w:tc>
        <w:tc>
          <w:tcPr>
            <w:tcW w:w="1750" w:type="dxa"/>
            <w:vMerge w:val="restart"/>
            <w:vAlign w:val="center"/>
          </w:tcPr>
          <w:p>
            <w:pPr>
              <w:spacing w:line="320" w:lineRule="exact"/>
              <w:ind w:firstLine="0" w:firstLineChars="0"/>
              <w:jc w:val="lef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仿宋"/>
                <w:color w:val="000000" w:themeColor="text1"/>
                <w:sz w:val="21"/>
                <w:szCs w:val="21"/>
              </w:rPr>
              <w:t>评委现场给出图纸及要求</w:t>
            </w:r>
          </w:p>
        </w:tc>
        <w:tc>
          <w:tcPr>
            <w:tcW w:w="2361" w:type="dxa"/>
            <w:vAlign w:val="center"/>
          </w:tcPr>
          <w:p>
            <w:pPr>
              <w:spacing w:line="320" w:lineRule="exact"/>
              <w:ind w:firstLine="0" w:firstLineChars="0"/>
              <w:jc w:val="lef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量具使用</w:t>
            </w:r>
          </w:p>
        </w:tc>
        <w:tc>
          <w:tcPr>
            <w:tcW w:w="567" w:type="dxa"/>
            <w:vAlign w:val="center"/>
          </w:tcPr>
          <w:p>
            <w:pPr>
              <w:spacing w:line="320" w:lineRule="exact"/>
              <w:ind w:firstLine="0" w:firstLineChars="0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16</w:t>
            </w:r>
          </w:p>
        </w:tc>
        <w:tc>
          <w:tcPr>
            <w:tcW w:w="567" w:type="dxa"/>
            <w:vMerge w:val="restart"/>
            <w:vAlign w:val="center"/>
          </w:tcPr>
          <w:p>
            <w:pPr>
              <w:spacing w:line="320" w:lineRule="exact"/>
              <w:ind w:firstLine="0" w:firstLineChars="0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40</w:t>
            </w:r>
          </w:p>
        </w:tc>
        <w:tc>
          <w:tcPr>
            <w:tcW w:w="2471" w:type="dxa"/>
            <w:vMerge w:val="restart"/>
            <w:vAlign w:val="center"/>
          </w:tcPr>
          <w:p>
            <w:pPr>
              <w:spacing w:line="320" w:lineRule="exact"/>
              <w:ind w:firstLine="0" w:firstLineChars="0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游标卡尺、典型零件、内径千分尺、外径千分尺、典型零件百分表、机床、坯料、夹具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tblHeader/>
        </w:trPr>
        <w:tc>
          <w:tcPr>
            <w:tcW w:w="817" w:type="dxa"/>
            <w:vMerge w:val="continue"/>
            <w:vAlign w:val="center"/>
          </w:tcPr>
          <w:p>
            <w:pPr>
              <w:spacing w:line="320" w:lineRule="exact"/>
              <w:ind w:firstLine="420"/>
              <w:jc w:val="lef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spacing w:line="320" w:lineRule="exact"/>
              <w:ind w:firstLine="420"/>
              <w:jc w:val="lef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750" w:type="dxa"/>
            <w:vMerge w:val="continue"/>
            <w:vAlign w:val="center"/>
          </w:tcPr>
          <w:p>
            <w:pPr>
              <w:spacing w:line="320" w:lineRule="exact"/>
              <w:ind w:firstLine="420"/>
              <w:jc w:val="lef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361" w:type="dxa"/>
            <w:vAlign w:val="center"/>
          </w:tcPr>
          <w:p>
            <w:pPr>
              <w:spacing w:line="320" w:lineRule="exact"/>
              <w:ind w:firstLine="0" w:firstLineChars="0"/>
              <w:jc w:val="lef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机械识图与工艺确定</w:t>
            </w:r>
          </w:p>
        </w:tc>
        <w:tc>
          <w:tcPr>
            <w:tcW w:w="567" w:type="dxa"/>
            <w:vAlign w:val="center"/>
          </w:tcPr>
          <w:p>
            <w:pPr>
              <w:spacing w:line="320" w:lineRule="exact"/>
              <w:ind w:firstLine="0" w:firstLineChars="0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14</w:t>
            </w:r>
          </w:p>
        </w:tc>
        <w:tc>
          <w:tcPr>
            <w:tcW w:w="567" w:type="dxa"/>
            <w:vMerge w:val="continue"/>
            <w:vAlign w:val="center"/>
          </w:tcPr>
          <w:p>
            <w:pPr>
              <w:spacing w:line="320" w:lineRule="exact"/>
              <w:ind w:firstLine="0" w:firstLineChars="0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71" w:type="dxa"/>
            <w:vMerge w:val="continue"/>
            <w:vAlign w:val="center"/>
          </w:tcPr>
          <w:p>
            <w:pPr>
              <w:spacing w:line="320" w:lineRule="exact"/>
              <w:ind w:firstLine="420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tblHeader/>
        </w:trPr>
        <w:tc>
          <w:tcPr>
            <w:tcW w:w="817" w:type="dxa"/>
            <w:vMerge w:val="continue"/>
            <w:vAlign w:val="center"/>
          </w:tcPr>
          <w:p>
            <w:pPr>
              <w:spacing w:line="320" w:lineRule="exact"/>
              <w:ind w:firstLine="420"/>
              <w:jc w:val="lef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spacing w:line="320" w:lineRule="exact"/>
              <w:ind w:firstLine="420"/>
              <w:jc w:val="lef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750" w:type="dxa"/>
            <w:vMerge w:val="continue"/>
            <w:vAlign w:val="center"/>
          </w:tcPr>
          <w:p>
            <w:pPr>
              <w:spacing w:line="320" w:lineRule="exact"/>
              <w:ind w:firstLine="420"/>
              <w:jc w:val="lef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361" w:type="dxa"/>
            <w:vAlign w:val="center"/>
          </w:tcPr>
          <w:p>
            <w:pPr>
              <w:spacing w:line="320" w:lineRule="exact"/>
              <w:ind w:firstLine="0" w:firstLineChars="0"/>
              <w:jc w:val="lef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测绘</w:t>
            </w:r>
          </w:p>
        </w:tc>
        <w:tc>
          <w:tcPr>
            <w:tcW w:w="567" w:type="dxa"/>
            <w:vAlign w:val="center"/>
          </w:tcPr>
          <w:p>
            <w:pPr>
              <w:spacing w:line="320" w:lineRule="exact"/>
              <w:ind w:firstLine="0" w:firstLineChars="0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10</w:t>
            </w:r>
          </w:p>
        </w:tc>
        <w:tc>
          <w:tcPr>
            <w:tcW w:w="567" w:type="dxa"/>
            <w:vMerge w:val="continue"/>
            <w:vAlign w:val="center"/>
          </w:tcPr>
          <w:p>
            <w:pPr>
              <w:spacing w:line="320" w:lineRule="exact"/>
              <w:ind w:firstLine="0" w:firstLineChars="0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71" w:type="dxa"/>
            <w:vMerge w:val="continue"/>
            <w:vAlign w:val="center"/>
          </w:tcPr>
          <w:p>
            <w:pPr>
              <w:spacing w:line="320" w:lineRule="exact"/>
              <w:ind w:firstLine="0" w:firstLineChars="0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tblHeader/>
        </w:trPr>
        <w:tc>
          <w:tcPr>
            <w:tcW w:w="817" w:type="dxa"/>
            <w:vMerge w:val="continue"/>
            <w:vAlign w:val="center"/>
          </w:tcPr>
          <w:p>
            <w:pPr>
              <w:spacing w:line="320" w:lineRule="exact"/>
              <w:ind w:firstLine="420"/>
              <w:jc w:val="lef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spacing w:line="320" w:lineRule="exact"/>
              <w:ind w:firstLine="0" w:firstLineChars="0"/>
              <w:jc w:val="lef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750" w:type="dxa"/>
            <w:vAlign w:val="center"/>
          </w:tcPr>
          <w:p>
            <w:pPr>
              <w:spacing w:line="320" w:lineRule="exact"/>
              <w:ind w:firstLine="0" w:firstLineChars="0"/>
              <w:jc w:val="lef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仿宋"/>
                <w:color w:val="000000" w:themeColor="text1"/>
                <w:sz w:val="21"/>
                <w:szCs w:val="21"/>
              </w:rPr>
              <w:t>评委现场给出文明生产要求</w:t>
            </w:r>
          </w:p>
        </w:tc>
        <w:tc>
          <w:tcPr>
            <w:tcW w:w="2361" w:type="dxa"/>
            <w:vAlign w:val="center"/>
          </w:tcPr>
          <w:p>
            <w:pPr>
              <w:spacing w:line="320" w:lineRule="exact"/>
              <w:ind w:firstLine="0" w:firstLineChars="0"/>
              <w:jc w:val="lef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机床操作规范文明生产</w:t>
            </w:r>
          </w:p>
        </w:tc>
        <w:tc>
          <w:tcPr>
            <w:tcW w:w="567" w:type="dxa"/>
            <w:vAlign w:val="center"/>
          </w:tcPr>
          <w:p>
            <w:pPr>
              <w:spacing w:line="320" w:lineRule="exact"/>
              <w:ind w:firstLine="0" w:firstLineChars="0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10</w:t>
            </w:r>
          </w:p>
        </w:tc>
        <w:tc>
          <w:tcPr>
            <w:tcW w:w="567" w:type="dxa"/>
            <w:vAlign w:val="center"/>
          </w:tcPr>
          <w:p>
            <w:pPr>
              <w:spacing w:line="320" w:lineRule="exact"/>
              <w:ind w:firstLine="0" w:firstLineChars="0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10</w:t>
            </w:r>
          </w:p>
        </w:tc>
        <w:tc>
          <w:tcPr>
            <w:tcW w:w="2471" w:type="dxa"/>
            <w:vAlign w:val="center"/>
          </w:tcPr>
          <w:p>
            <w:pPr>
              <w:spacing w:line="320" w:lineRule="exact"/>
              <w:ind w:firstLine="0" w:firstLineChars="0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数控车床、零件图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tblHeader/>
        </w:trPr>
        <w:tc>
          <w:tcPr>
            <w:tcW w:w="817" w:type="dxa"/>
            <w:vMerge w:val="continue"/>
            <w:vAlign w:val="center"/>
          </w:tcPr>
          <w:p>
            <w:pPr>
              <w:spacing w:line="320" w:lineRule="exact"/>
              <w:ind w:firstLine="0" w:firstLineChars="0"/>
              <w:jc w:val="lef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spacing w:line="320" w:lineRule="exact"/>
              <w:ind w:firstLine="0" w:firstLineChars="0"/>
              <w:jc w:val="lef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750" w:type="dxa"/>
            <w:vMerge w:val="restart"/>
            <w:vAlign w:val="center"/>
          </w:tcPr>
          <w:p>
            <w:pPr>
              <w:spacing w:line="320" w:lineRule="exact"/>
              <w:ind w:firstLine="0" w:firstLineChars="0"/>
              <w:jc w:val="lef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仿宋"/>
                <w:color w:val="000000" w:themeColor="text1"/>
                <w:sz w:val="21"/>
                <w:szCs w:val="21"/>
              </w:rPr>
              <w:t>评委现场给出图纸及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数控车床编程与操作</w:t>
            </w:r>
            <w:r>
              <w:rPr>
                <w:rFonts w:hint="eastAsia" w:ascii="宋体" w:hAnsi="宋体" w:eastAsia="宋体" w:cs="仿宋"/>
                <w:color w:val="000000" w:themeColor="text1"/>
                <w:sz w:val="21"/>
                <w:szCs w:val="21"/>
              </w:rPr>
              <w:t>要求</w:t>
            </w:r>
          </w:p>
        </w:tc>
        <w:tc>
          <w:tcPr>
            <w:tcW w:w="2361" w:type="dxa"/>
            <w:vAlign w:val="center"/>
          </w:tcPr>
          <w:p>
            <w:pPr>
              <w:spacing w:line="320" w:lineRule="exact"/>
              <w:ind w:firstLine="0" w:firstLineChars="0"/>
              <w:jc w:val="lef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直线外圆轮廓加工</w:t>
            </w:r>
          </w:p>
        </w:tc>
        <w:tc>
          <w:tcPr>
            <w:tcW w:w="567" w:type="dxa"/>
            <w:vAlign w:val="center"/>
          </w:tcPr>
          <w:p>
            <w:pPr>
              <w:spacing w:line="320" w:lineRule="exact"/>
              <w:ind w:firstLine="0" w:firstLineChars="0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16</w:t>
            </w:r>
          </w:p>
        </w:tc>
        <w:tc>
          <w:tcPr>
            <w:tcW w:w="567" w:type="dxa"/>
            <w:vMerge w:val="restart"/>
            <w:vAlign w:val="center"/>
          </w:tcPr>
          <w:p>
            <w:pPr>
              <w:spacing w:line="320" w:lineRule="exact"/>
              <w:ind w:firstLine="0" w:firstLineChars="0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150</w:t>
            </w:r>
          </w:p>
        </w:tc>
        <w:tc>
          <w:tcPr>
            <w:tcW w:w="2471" w:type="dxa"/>
            <w:vMerge w:val="restart"/>
            <w:vAlign w:val="center"/>
          </w:tcPr>
          <w:p>
            <w:pPr>
              <w:spacing w:line="360" w:lineRule="exact"/>
              <w:ind w:firstLine="0" w:firstLineChars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数控车床、零件图、刀具、相应圆弧样板、配合检验螺母、锥套、配合检验螺栓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tblHeader/>
        </w:trPr>
        <w:tc>
          <w:tcPr>
            <w:tcW w:w="817" w:type="dxa"/>
            <w:vMerge w:val="continue"/>
            <w:vAlign w:val="center"/>
          </w:tcPr>
          <w:p>
            <w:pPr>
              <w:spacing w:line="320" w:lineRule="exact"/>
              <w:ind w:firstLine="0" w:firstLineChars="0"/>
              <w:jc w:val="lef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spacing w:line="320" w:lineRule="exact"/>
              <w:ind w:firstLine="0" w:firstLineChars="0"/>
              <w:jc w:val="lef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750" w:type="dxa"/>
            <w:vMerge w:val="continue"/>
            <w:vAlign w:val="center"/>
          </w:tcPr>
          <w:p>
            <w:pPr>
              <w:spacing w:line="320" w:lineRule="exact"/>
              <w:ind w:firstLine="420"/>
              <w:jc w:val="lef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361" w:type="dxa"/>
            <w:vAlign w:val="center"/>
          </w:tcPr>
          <w:p>
            <w:pPr>
              <w:spacing w:line="320" w:lineRule="exact"/>
              <w:ind w:firstLine="0" w:firstLineChars="0"/>
              <w:jc w:val="lef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圆弧外圆加工</w:t>
            </w:r>
          </w:p>
        </w:tc>
        <w:tc>
          <w:tcPr>
            <w:tcW w:w="567" w:type="dxa"/>
            <w:vAlign w:val="center"/>
          </w:tcPr>
          <w:p>
            <w:pPr>
              <w:spacing w:line="320" w:lineRule="exact"/>
              <w:ind w:firstLine="0" w:firstLineChars="0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20</w:t>
            </w:r>
          </w:p>
        </w:tc>
        <w:tc>
          <w:tcPr>
            <w:tcW w:w="567" w:type="dxa"/>
            <w:vMerge w:val="continue"/>
            <w:vAlign w:val="center"/>
          </w:tcPr>
          <w:p>
            <w:pPr>
              <w:spacing w:line="320" w:lineRule="exact"/>
              <w:ind w:firstLine="0" w:firstLineChars="0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71" w:type="dxa"/>
            <w:vMerge w:val="continue"/>
            <w:vAlign w:val="center"/>
          </w:tcPr>
          <w:p>
            <w:pPr>
              <w:spacing w:line="320" w:lineRule="exact"/>
              <w:ind w:firstLine="420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  <w:tblHeader/>
        </w:trPr>
        <w:tc>
          <w:tcPr>
            <w:tcW w:w="817" w:type="dxa"/>
            <w:vMerge w:val="continue"/>
            <w:vAlign w:val="center"/>
          </w:tcPr>
          <w:p>
            <w:pPr>
              <w:spacing w:line="320" w:lineRule="exact"/>
              <w:ind w:firstLine="0" w:firstLineChars="0"/>
              <w:jc w:val="lef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spacing w:line="320" w:lineRule="exact"/>
              <w:ind w:firstLine="0" w:firstLineChars="0"/>
              <w:jc w:val="lef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750" w:type="dxa"/>
            <w:vMerge w:val="continue"/>
            <w:vAlign w:val="center"/>
          </w:tcPr>
          <w:p>
            <w:pPr>
              <w:spacing w:line="320" w:lineRule="exact"/>
              <w:ind w:firstLine="0" w:firstLineChars="0"/>
              <w:jc w:val="lef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361" w:type="dxa"/>
            <w:vAlign w:val="center"/>
          </w:tcPr>
          <w:p>
            <w:pPr>
              <w:spacing w:line="320" w:lineRule="exact"/>
              <w:ind w:firstLine="0" w:firstLineChars="0"/>
              <w:jc w:val="lef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锥度外圆加工</w:t>
            </w:r>
          </w:p>
        </w:tc>
        <w:tc>
          <w:tcPr>
            <w:tcW w:w="567" w:type="dxa"/>
            <w:vAlign w:val="center"/>
          </w:tcPr>
          <w:p>
            <w:pPr>
              <w:spacing w:line="320" w:lineRule="exact"/>
              <w:ind w:firstLine="0" w:firstLineChars="0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20</w:t>
            </w:r>
          </w:p>
        </w:tc>
        <w:tc>
          <w:tcPr>
            <w:tcW w:w="567" w:type="dxa"/>
            <w:vMerge w:val="continue"/>
            <w:vAlign w:val="center"/>
          </w:tcPr>
          <w:p>
            <w:pPr>
              <w:spacing w:line="320" w:lineRule="exact"/>
              <w:ind w:firstLine="0" w:firstLineChars="0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71" w:type="dxa"/>
            <w:vMerge w:val="continue"/>
            <w:vAlign w:val="center"/>
          </w:tcPr>
          <w:p>
            <w:pPr>
              <w:spacing w:line="320" w:lineRule="exact"/>
              <w:ind w:firstLine="420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  <w:tblHeader/>
        </w:trPr>
        <w:tc>
          <w:tcPr>
            <w:tcW w:w="817" w:type="dxa"/>
            <w:vMerge w:val="continue"/>
            <w:vAlign w:val="center"/>
          </w:tcPr>
          <w:p>
            <w:pPr>
              <w:spacing w:line="320" w:lineRule="exact"/>
              <w:ind w:firstLine="0" w:firstLineChars="0"/>
              <w:jc w:val="lef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numPr>
                <w:ilvl w:val="0"/>
                <w:numId w:val="1"/>
              </w:numPr>
              <w:spacing w:line="320" w:lineRule="exact"/>
              <w:ind w:firstLine="0" w:firstLineChars="0"/>
              <w:jc w:val="lef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750" w:type="dxa"/>
            <w:vMerge w:val="continue"/>
            <w:vAlign w:val="center"/>
          </w:tcPr>
          <w:p>
            <w:pPr>
              <w:spacing w:line="320" w:lineRule="exact"/>
              <w:ind w:firstLine="0" w:firstLineChars="0"/>
              <w:jc w:val="lef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361" w:type="dxa"/>
            <w:vAlign w:val="center"/>
          </w:tcPr>
          <w:p>
            <w:pPr>
              <w:spacing w:line="320" w:lineRule="exact"/>
              <w:ind w:firstLine="0" w:firstLineChars="0"/>
              <w:jc w:val="lef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切槽</w:t>
            </w:r>
          </w:p>
        </w:tc>
        <w:tc>
          <w:tcPr>
            <w:tcW w:w="567" w:type="dxa"/>
            <w:vAlign w:val="center"/>
          </w:tcPr>
          <w:p>
            <w:pPr>
              <w:spacing w:line="320" w:lineRule="exact"/>
              <w:ind w:firstLine="0" w:firstLineChars="0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20</w:t>
            </w:r>
          </w:p>
        </w:tc>
        <w:tc>
          <w:tcPr>
            <w:tcW w:w="567" w:type="dxa"/>
            <w:vMerge w:val="continue"/>
            <w:vAlign w:val="center"/>
          </w:tcPr>
          <w:p>
            <w:pPr>
              <w:spacing w:line="320" w:lineRule="exact"/>
              <w:ind w:firstLine="0" w:firstLineChars="0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71" w:type="dxa"/>
            <w:vMerge w:val="continue"/>
            <w:vAlign w:val="center"/>
          </w:tcPr>
          <w:p>
            <w:pPr>
              <w:spacing w:line="320" w:lineRule="exact"/>
              <w:ind w:firstLine="420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tblHeader/>
        </w:trPr>
        <w:tc>
          <w:tcPr>
            <w:tcW w:w="817" w:type="dxa"/>
            <w:vMerge w:val="continue"/>
            <w:vAlign w:val="center"/>
          </w:tcPr>
          <w:p>
            <w:pPr>
              <w:spacing w:line="320" w:lineRule="exact"/>
              <w:ind w:firstLine="0" w:firstLineChars="0"/>
              <w:jc w:val="lef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spacing w:line="320" w:lineRule="exact"/>
              <w:ind w:firstLine="0" w:firstLineChars="0"/>
              <w:jc w:val="lef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750" w:type="dxa"/>
            <w:vMerge w:val="continue"/>
            <w:vAlign w:val="center"/>
          </w:tcPr>
          <w:p>
            <w:pPr>
              <w:spacing w:line="320" w:lineRule="exact"/>
              <w:ind w:firstLine="0" w:firstLineChars="0"/>
              <w:jc w:val="lef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361" w:type="dxa"/>
            <w:vAlign w:val="center"/>
          </w:tcPr>
          <w:p>
            <w:pPr>
              <w:spacing w:line="320" w:lineRule="exact"/>
              <w:ind w:firstLine="0" w:firstLineChars="0"/>
              <w:jc w:val="lef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普通三角形外螺纹加工</w:t>
            </w:r>
          </w:p>
        </w:tc>
        <w:tc>
          <w:tcPr>
            <w:tcW w:w="567" w:type="dxa"/>
            <w:vAlign w:val="center"/>
          </w:tcPr>
          <w:p>
            <w:pPr>
              <w:spacing w:line="320" w:lineRule="exact"/>
              <w:ind w:firstLine="0" w:firstLineChars="0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24</w:t>
            </w:r>
          </w:p>
        </w:tc>
        <w:tc>
          <w:tcPr>
            <w:tcW w:w="567" w:type="dxa"/>
            <w:vMerge w:val="continue"/>
            <w:vAlign w:val="center"/>
          </w:tcPr>
          <w:p>
            <w:pPr>
              <w:spacing w:line="320" w:lineRule="exact"/>
              <w:ind w:firstLine="0" w:firstLineChars="0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71" w:type="dxa"/>
            <w:vMerge w:val="continue"/>
            <w:vAlign w:val="center"/>
          </w:tcPr>
          <w:p>
            <w:pPr>
              <w:spacing w:line="320" w:lineRule="exact"/>
              <w:ind w:firstLine="420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  <w:tblHeader/>
        </w:trPr>
        <w:tc>
          <w:tcPr>
            <w:tcW w:w="817" w:type="dxa"/>
            <w:vMerge w:val="continue"/>
            <w:vAlign w:val="center"/>
          </w:tcPr>
          <w:p>
            <w:pPr>
              <w:spacing w:line="320" w:lineRule="exact"/>
              <w:ind w:firstLine="0" w:firstLineChars="0"/>
              <w:jc w:val="lef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spacing w:line="320" w:lineRule="exact"/>
              <w:ind w:firstLine="0" w:firstLineChars="0"/>
              <w:jc w:val="lef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750" w:type="dxa"/>
            <w:vMerge w:val="continue"/>
            <w:vAlign w:val="center"/>
          </w:tcPr>
          <w:p>
            <w:pPr>
              <w:spacing w:line="320" w:lineRule="exact"/>
              <w:ind w:firstLine="0" w:firstLineChars="0"/>
              <w:jc w:val="lef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361" w:type="dxa"/>
            <w:vAlign w:val="center"/>
          </w:tcPr>
          <w:p>
            <w:pPr>
              <w:spacing w:line="320" w:lineRule="exact"/>
              <w:ind w:firstLine="0" w:firstLineChars="0"/>
              <w:jc w:val="lef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孔加工</w:t>
            </w:r>
          </w:p>
        </w:tc>
        <w:tc>
          <w:tcPr>
            <w:tcW w:w="567" w:type="dxa"/>
            <w:vAlign w:val="center"/>
          </w:tcPr>
          <w:p>
            <w:pPr>
              <w:spacing w:line="320" w:lineRule="exact"/>
              <w:ind w:firstLine="0" w:firstLineChars="0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24</w:t>
            </w:r>
          </w:p>
        </w:tc>
        <w:tc>
          <w:tcPr>
            <w:tcW w:w="567" w:type="dxa"/>
            <w:vMerge w:val="continue"/>
            <w:vAlign w:val="center"/>
          </w:tcPr>
          <w:p>
            <w:pPr>
              <w:spacing w:line="320" w:lineRule="exact"/>
              <w:ind w:firstLine="0" w:firstLineChars="0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71" w:type="dxa"/>
            <w:vMerge w:val="continue"/>
            <w:vAlign w:val="center"/>
          </w:tcPr>
          <w:p>
            <w:pPr>
              <w:spacing w:line="320" w:lineRule="exact"/>
              <w:ind w:firstLine="420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  <w:tblHeader/>
        </w:trPr>
        <w:tc>
          <w:tcPr>
            <w:tcW w:w="817" w:type="dxa"/>
            <w:vMerge w:val="continue"/>
            <w:vAlign w:val="center"/>
          </w:tcPr>
          <w:p>
            <w:pPr>
              <w:spacing w:line="320" w:lineRule="exact"/>
              <w:ind w:firstLine="0" w:firstLineChars="0"/>
              <w:jc w:val="lef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spacing w:line="320" w:lineRule="exact"/>
              <w:ind w:firstLine="0" w:firstLineChars="0"/>
              <w:jc w:val="lef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750" w:type="dxa"/>
            <w:vMerge w:val="continue"/>
            <w:vAlign w:val="center"/>
          </w:tcPr>
          <w:p>
            <w:pPr>
              <w:spacing w:line="320" w:lineRule="exact"/>
              <w:ind w:firstLine="0" w:firstLineChars="0"/>
              <w:jc w:val="lef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361" w:type="dxa"/>
            <w:vAlign w:val="center"/>
          </w:tcPr>
          <w:p>
            <w:pPr>
              <w:spacing w:line="320" w:lineRule="exact"/>
              <w:ind w:firstLine="0" w:firstLineChars="0"/>
              <w:jc w:val="lef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内螺纹的加工</w:t>
            </w:r>
          </w:p>
        </w:tc>
        <w:tc>
          <w:tcPr>
            <w:tcW w:w="567" w:type="dxa"/>
            <w:vAlign w:val="center"/>
          </w:tcPr>
          <w:p>
            <w:pPr>
              <w:spacing w:line="320" w:lineRule="exact"/>
              <w:ind w:firstLine="0" w:firstLineChars="0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26</w:t>
            </w:r>
          </w:p>
        </w:tc>
        <w:tc>
          <w:tcPr>
            <w:tcW w:w="567" w:type="dxa"/>
            <w:vMerge w:val="continue"/>
            <w:vAlign w:val="center"/>
          </w:tcPr>
          <w:p>
            <w:pPr>
              <w:spacing w:line="320" w:lineRule="exact"/>
              <w:ind w:firstLine="0" w:firstLineChars="0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71" w:type="dxa"/>
            <w:vMerge w:val="continue"/>
            <w:vAlign w:val="center"/>
          </w:tcPr>
          <w:p>
            <w:pPr>
              <w:spacing w:line="320" w:lineRule="exact"/>
              <w:ind w:firstLine="0" w:firstLineChars="0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tblHeader/>
        </w:trPr>
        <w:tc>
          <w:tcPr>
            <w:tcW w:w="9242" w:type="dxa"/>
            <w:gridSpan w:val="7"/>
            <w:vAlign w:val="center"/>
          </w:tcPr>
          <w:p>
            <w:pPr>
              <w:spacing w:line="320" w:lineRule="exact"/>
              <w:ind w:firstLine="0" w:firstLineChars="0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b/>
              </w:rPr>
              <w:t>考核项目：</w:t>
            </w:r>
            <w:r>
              <w:rPr>
                <w:rFonts w:hint="eastAsia"/>
                <w:b/>
              </w:rPr>
              <w:t>普通</w:t>
            </w:r>
            <w:r>
              <w:rPr>
                <w:b/>
              </w:rPr>
              <w:t>车床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  <w:tblHeader/>
        </w:trPr>
        <w:tc>
          <w:tcPr>
            <w:tcW w:w="817" w:type="dxa"/>
            <w:vMerge w:val="restart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color w:val="000000" w:themeColor="text1"/>
                <w:sz w:val="21"/>
                <w:szCs w:val="21"/>
              </w:rPr>
            </w:pPr>
            <w:r>
              <w:rPr>
                <w:rFonts w:ascii="宋体" w:hAnsi="宋体" w:cs="华文仿宋"/>
                <w:color w:val="000000" w:themeColor="text1"/>
                <w:sz w:val="21"/>
                <w:szCs w:val="21"/>
              </w:rPr>
              <w:t>普通</w:t>
            </w:r>
          </w:p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color w:val="000000" w:themeColor="text1"/>
                <w:sz w:val="21"/>
                <w:szCs w:val="21"/>
              </w:rPr>
            </w:pPr>
            <w:r>
              <w:rPr>
                <w:rFonts w:ascii="宋体" w:hAnsi="宋体" w:cs="华文仿宋"/>
                <w:color w:val="000000" w:themeColor="text1"/>
                <w:sz w:val="21"/>
                <w:szCs w:val="21"/>
              </w:rPr>
              <w:t>车床</w:t>
            </w:r>
          </w:p>
        </w:tc>
        <w:tc>
          <w:tcPr>
            <w:tcW w:w="709" w:type="dxa"/>
            <w:vMerge w:val="restart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cs="华文仿宋"/>
                <w:color w:val="000000" w:themeColor="text1"/>
                <w:sz w:val="21"/>
                <w:szCs w:val="21"/>
              </w:rPr>
              <w:t>60</w:t>
            </w:r>
          </w:p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cs="华文仿宋"/>
                <w:color w:val="000000" w:themeColor="text1"/>
                <w:sz w:val="21"/>
                <w:szCs w:val="21"/>
              </w:rPr>
              <w:t>分钟</w:t>
            </w:r>
          </w:p>
        </w:tc>
        <w:tc>
          <w:tcPr>
            <w:tcW w:w="1750" w:type="dxa"/>
            <w:vMerge w:val="restart"/>
            <w:vAlign w:val="center"/>
          </w:tcPr>
          <w:p>
            <w:pPr>
              <w:spacing w:line="320" w:lineRule="exact"/>
              <w:ind w:firstLine="0" w:firstLineChars="0"/>
              <w:jc w:val="lef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 w:cs="仿宋"/>
                <w:color w:val="000000" w:themeColor="text1"/>
                <w:sz w:val="21"/>
                <w:szCs w:val="21"/>
              </w:rPr>
              <w:t>评委现场给出图纸及</w:t>
            </w: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普通车床操作</w:t>
            </w:r>
            <w:r>
              <w:rPr>
                <w:rFonts w:hint="eastAsia" w:ascii="宋体" w:hAnsi="宋体" w:eastAsia="宋体" w:cs="仿宋"/>
                <w:color w:val="000000" w:themeColor="text1"/>
                <w:sz w:val="21"/>
                <w:szCs w:val="21"/>
              </w:rPr>
              <w:t>要求</w:t>
            </w:r>
          </w:p>
        </w:tc>
        <w:tc>
          <w:tcPr>
            <w:tcW w:w="2361" w:type="dxa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cs="华文仿宋"/>
                <w:color w:val="000000" w:themeColor="text1"/>
                <w:sz w:val="21"/>
                <w:szCs w:val="21"/>
              </w:rPr>
              <w:t>安全常识</w:t>
            </w:r>
          </w:p>
        </w:tc>
        <w:tc>
          <w:tcPr>
            <w:tcW w:w="567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cs="华文仿宋"/>
                <w:color w:val="000000" w:themeColor="text1"/>
                <w:sz w:val="21"/>
                <w:szCs w:val="21"/>
              </w:rPr>
              <w:t>10</w:t>
            </w:r>
          </w:p>
        </w:tc>
        <w:tc>
          <w:tcPr>
            <w:tcW w:w="567" w:type="dxa"/>
            <w:vMerge w:val="restart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cs="华文仿宋"/>
                <w:color w:val="000000" w:themeColor="text1"/>
                <w:sz w:val="21"/>
                <w:szCs w:val="21"/>
              </w:rPr>
              <w:t>170</w:t>
            </w:r>
          </w:p>
        </w:tc>
        <w:tc>
          <w:tcPr>
            <w:tcW w:w="2471" w:type="dxa"/>
            <w:vMerge w:val="restart"/>
            <w:vAlign w:val="center"/>
          </w:tcPr>
          <w:p>
            <w:pPr>
              <w:spacing w:line="360" w:lineRule="exact"/>
              <w:ind w:firstLine="0" w:firstLineChars="0"/>
              <w:rPr>
                <w:rFonts w:ascii="宋体" w:hAnsi="宋体" w:cs="华文仿宋"/>
                <w:color w:val="2D54A0" w:themeColor="accent1" w:themeShade="BF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普通车床一台；中心钻一个、钻夹及扳手各一个、紧固尾座的相关扳手等；钻头一个、紧固尾座的相关扳手等；各种规格的变径套</w:t>
            </w:r>
            <w:r>
              <w:rPr>
                <w:rFonts w:hint="eastAsia" w:ascii="宋体" w:hAnsi="宋体" w:cs="华文仿宋"/>
                <w:color w:val="2D54A0" w:themeColor="accent1" w:themeShade="BF"/>
                <w:sz w:val="21"/>
                <w:szCs w:val="21"/>
              </w:rPr>
              <w:t>；</w:t>
            </w:r>
            <w:r>
              <w:rPr>
                <w:rFonts w:hint="eastAsia" w:ascii="宋体" w:hAnsi="宋体" w:cs="华文仿宋"/>
                <w:sz w:val="21"/>
                <w:szCs w:val="21"/>
              </w:rPr>
              <w:t>倒角刀；外圆刀；滚花刀；内孔刀；切槽刀；相关量具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  <w:tblHeader/>
        </w:trPr>
        <w:tc>
          <w:tcPr>
            <w:tcW w:w="817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color w:val="000000" w:themeColor="text1"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color w:val="000000" w:themeColor="text1"/>
                <w:sz w:val="21"/>
                <w:szCs w:val="21"/>
              </w:rPr>
            </w:pPr>
          </w:p>
        </w:tc>
        <w:tc>
          <w:tcPr>
            <w:tcW w:w="1750" w:type="dxa"/>
            <w:vMerge w:val="continue"/>
            <w:vAlign w:val="center"/>
          </w:tcPr>
          <w:p>
            <w:pPr>
              <w:spacing w:line="320" w:lineRule="exact"/>
              <w:ind w:firstLine="420"/>
              <w:jc w:val="lef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2361" w:type="dxa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cs="华文仿宋"/>
                <w:color w:val="000000" w:themeColor="text1"/>
                <w:sz w:val="21"/>
                <w:szCs w:val="21"/>
              </w:rPr>
              <w:t>钻中心孔</w:t>
            </w:r>
          </w:p>
        </w:tc>
        <w:tc>
          <w:tcPr>
            <w:tcW w:w="567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cs="华文仿宋"/>
                <w:color w:val="000000" w:themeColor="text1"/>
                <w:sz w:val="21"/>
                <w:szCs w:val="21"/>
              </w:rPr>
              <w:t>6</w:t>
            </w:r>
          </w:p>
        </w:tc>
        <w:tc>
          <w:tcPr>
            <w:tcW w:w="567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color w:val="000000" w:themeColor="text1"/>
                <w:sz w:val="21"/>
                <w:szCs w:val="21"/>
              </w:rPr>
            </w:pPr>
          </w:p>
        </w:tc>
        <w:tc>
          <w:tcPr>
            <w:tcW w:w="2471" w:type="dxa"/>
            <w:vMerge w:val="continue"/>
            <w:vAlign w:val="center"/>
          </w:tcPr>
          <w:p>
            <w:pPr>
              <w:spacing w:line="320" w:lineRule="exact"/>
              <w:ind w:firstLine="420"/>
              <w:jc w:val="center"/>
              <w:rPr>
                <w:rFonts w:ascii="宋体" w:hAnsi="宋体" w:cs="华文仿宋"/>
                <w:color w:val="2D54A0" w:themeColor="accent1" w:themeShade="BF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  <w:tblHeader/>
        </w:trPr>
        <w:tc>
          <w:tcPr>
            <w:tcW w:w="817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color w:val="000000" w:themeColor="text1"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color w:val="000000" w:themeColor="text1"/>
                <w:sz w:val="21"/>
                <w:szCs w:val="21"/>
              </w:rPr>
            </w:pPr>
          </w:p>
        </w:tc>
        <w:tc>
          <w:tcPr>
            <w:tcW w:w="1750" w:type="dxa"/>
            <w:vMerge w:val="continue"/>
            <w:vAlign w:val="center"/>
          </w:tcPr>
          <w:p>
            <w:pPr>
              <w:spacing w:line="320" w:lineRule="exact"/>
              <w:ind w:firstLine="420"/>
              <w:jc w:val="lef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2361" w:type="dxa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cs="华文仿宋"/>
                <w:color w:val="000000" w:themeColor="text1"/>
                <w:sz w:val="21"/>
                <w:szCs w:val="21"/>
              </w:rPr>
              <w:t>钻孔</w:t>
            </w:r>
          </w:p>
        </w:tc>
        <w:tc>
          <w:tcPr>
            <w:tcW w:w="567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cs="华文仿宋"/>
                <w:color w:val="000000" w:themeColor="text1"/>
                <w:sz w:val="21"/>
                <w:szCs w:val="21"/>
              </w:rPr>
              <w:t>6</w:t>
            </w:r>
          </w:p>
        </w:tc>
        <w:tc>
          <w:tcPr>
            <w:tcW w:w="567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color w:val="000000" w:themeColor="text1"/>
                <w:sz w:val="21"/>
                <w:szCs w:val="21"/>
              </w:rPr>
            </w:pPr>
          </w:p>
        </w:tc>
        <w:tc>
          <w:tcPr>
            <w:tcW w:w="2471" w:type="dxa"/>
            <w:vMerge w:val="continue"/>
            <w:vAlign w:val="center"/>
          </w:tcPr>
          <w:p>
            <w:pPr>
              <w:spacing w:line="320" w:lineRule="exact"/>
              <w:ind w:firstLine="420"/>
              <w:jc w:val="center"/>
              <w:rPr>
                <w:rFonts w:ascii="宋体" w:hAnsi="宋体" w:cs="华文仿宋"/>
                <w:color w:val="2D54A0" w:themeColor="accent1" w:themeShade="BF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  <w:tblHeader/>
        </w:trPr>
        <w:tc>
          <w:tcPr>
            <w:tcW w:w="817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color w:val="000000" w:themeColor="text1"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color w:val="000000" w:themeColor="text1"/>
                <w:sz w:val="21"/>
                <w:szCs w:val="21"/>
              </w:rPr>
            </w:pPr>
          </w:p>
        </w:tc>
        <w:tc>
          <w:tcPr>
            <w:tcW w:w="1750" w:type="dxa"/>
            <w:vMerge w:val="continue"/>
            <w:vAlign w:val="center"/>
          </w:tcPr>
          <w:p>
            <w:pPr>
              <w:spacing w:line="320" w:lineRule="exact"/>
              <w:ind w:firstLine="420"/>
              <w:jc w:val="lef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2361" w:type="dxa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cs="华文仿宋"/>
                <w:color w:val="000000" w:themeColor="text1"/>
                <w:sz w:val="21"/>
                <w:szCs w:val="21"/>
              </w:rPr>
              <w:t>倒角加工</w:t>
            </w:r>
          </w:p>
        </w:tc>
        <w:tc>
          <w:tcPr>
            <w:tcW w:w="567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cs="华文仿宋"/>
                <w:color w:val="000000" w:themeColor="text1"/>
                <w:sz w:val="21"/>
                <w:szCs w:val="21"/>
              </w:rPr>
              <w:t>8</w:t>
            </w:r>
          </w:p>
        </w:tc>
        <w:tc>
          <w:tcPr>
            <w:tcW w:w="567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color w:val="000000" w:themeColor="text1"/>
                <w:sz w:val="21"/>
                <w:szCs w:val="21"/>
              </w:rPr>
            </w:pPr>
          </w:p>
        </w:tc>
        <w:tc>
          <w:tcPr>
            <w:tcW w:w="2471" w:type="dxa"/>
            <w:vMerge w:val="continue"/>
            <w:vAlign w:val="center"/>
          </w:tcPr>
          <w:p>
            <w:pPr>
              <w:spacing w:line="320" w:lineRule="exact"/>
              <w:ind w:firstLine="420"/>
              <w:jc w:val="center"/>
              <w:rPr>
                <w:rFonts w:ascii="宋体" w:hAnsi="宋体" w:cs="华文仿宋"/>
                <w:color w:val="2D54A0" w:themeColor="accent1" w:themeShade="BF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  <w:tblHeader/>
        </w:trPr>
        <w:tc>
          <w:tcPr>
            <w:tcW w:w="817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color w:val="000000" w:themeColor="text1"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color w:val="000000" w:themeColor="text1"/>
                <w:sz w:val="21"/>
                <w:szCs w:val="21"/>
              </w:rPr>
            </w:pPr>
          </w:p>
        </w:tc>
        <w:tc>
          <w:tcPr>
            <w:tcW w:w="1750" w:type="dxa"/>
            <w:vMerge w:val="continue"/>
            <w:vAlign w:val="center"/>
          </w:tcPr>
          <w:p>
            <w:pPr>
              <w:spacing w:line="320" w:lineRule="exact"/>
              <w:ind w:firstLine="0" w:firstLineChars="0"/>
              <w:jc w:val="lef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2361" w:type="dxa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cs="华文仿宋"/>
                <w:color w:val="000000" w:themeColor="text1"/>
                <w:sz w:val="21"/>
                <w:szCs w:val="21"/>
              </w:rPr>
              <w:t>车端面</w:t>
            </w:r>
          </w:p>
        </w:tc>
        <w:tc>
          <w:tcPr>
            <w:tcW w:w="567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cs="华文仿宋"/>
                <w:color w:val="000000" w:themeColor="text1"/>
                <w:sz w:val="21"/>
                <w:szCs w:val="21"/>
              </w:rPr>
              <w:t>20</w:t>
            </w:r>
          </w:p>
        </w:tc>
        <w:tc>
          <w:tcPr>
            <w:tcW w:w="567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color w:val="000000" w:themeColor="text1"/>
                <w:sz w:val="21"/>
                <w:szCs w:val="21"/>
              </w:rPr>
            </w:pPr>
          </w:p>
        </w:tc>
        <w:tc>
          <w:tcPr>
            <w:tcW w:w="2471" w:type="dxa"/>
            <w:vMerge w:val="continue"/>
            <w:vAlign w:val="center"/>
          </w:tcPr>
          <w:p>
            <w:pPr>
              <w:spacing w:line="320" w:lineRule="exact"/>
              <w:ind w:firstLine="420"/>
              <w:jc w:val="center"/>
              <w:rPr>
                <w:rFonts w:ascii="宋体" w:hAnsi="宋体" w:cs="华文仿宋"/>
                <w:color w:val="2D54A0" w:themeColor="accent1" w:themeShade="BF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  <w:tblHeader/>
        </w:trPr>
        <w:tc>
          <w:tcPr>
            <w:tcW w:w="817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color w:val="000000" w:themeColor="text1"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color w:val="000000" w:themeColor="text1"/>
                <w:sz w:val="21"/>
                <w:szCs w:val="21"/>
              </w:rPr>
            </w:pPr>
          </w:p>
        </w:tc>
        <w:tc>
          <w:tcPr>
            <w:tcW w:w="1750" w:type="dxa"/>
            <w:vMerge w:val="continue"/>
            <w:vAlign w:val="center"/>
          </w:tcPr>
          <w:p>
            <w:pPr>
              <w:spacing w:line="320" w:lineRule="exact"/>
              <w:ind w:firstLine="420"/>
              <w:jc w:val="lef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2361" w:type="dxa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cs="华文仿宋"/>
                <w:color w:val="000000" w:themeColor="text1"/>
                <w:sz w:val="21"/>
                <w:szCs w:val="21"/>
              </w:rPr>
              <w:t>车外圆柱面</w:t>
            </w:r>
          </w:p>
        </w:tc>
        <w:tc>
          <w:tcPr>
            <w:tcW w:w="567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cs="华文仿宋"/>
                <w:color w:val="000000" w:themeColor="text1"/>
                <w:sz w:val="21"/>
                <w:szCs w:val="21"/>
              </w:rPr>
              <w:t>20</w:t>
            </w:r>
          </w:p>
        </w:tc>
        <w:tc>
          <w:tcPr>
            <w:tcW w:w="567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color w:val="000000" w:themeColor="text1"/>
                <w:sz w:val="21"/>
                <w:szCs w:val="21"/>
              </w:rPr>
            </w:pPr>
          </w:p>
        </w:tc>
        <w:tc>
          <w:tcPr>
            <w:tcW w:w="2471" w:type="dxa"/>
            <w:vMerge w:val="continue"/>
            <w:vAlign w:val="center"/>
          </w:tcPr>
          <w:p>
            <w:pPr>
              <w:spacing w:line="320" w:lineRule="exact"/>
              <w:ind w:firstLine="420"/>
              <w:jc w:val="center"/>
              <w:rPr>
                <w:rFonts w:ascii="宋体" w:hAnsi="宋体" w:cs="华文仿宋"/>
                <w:color w:val="2D54A0" w:themeColor="accent1" w:themeShade="BF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  <w:tblHeader/>
        </w:trPr>
        <w:tc>
          <w:tcPr>
            <w:tcW w:w="817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color w:val="000000" w:themeColor="text1"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color w:val="000000" w:themeColor="text1"/>
                <w:sz w:val="21"/>
                <w:szCs w:val="21"/>
              </w:rPr>
            </w:pPr>
          </w:p>
        </w:tc>
        <w:tc>
          <w:tcPr>
            <w:tcW w:w="1750" w:type="dxa"/>
            <w:vMerge w:val="continue"/>
            <w:vAlign w:val="center"/>
          </w:tcPr>
          <w:p>
            <w:pPr>
              <w:spacing w:line="320" w:lineRule="exact"/>
              <w:ind w:firstLine="0" w:firstLineChars="0"/>
              <w:jc w:val="lef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2361" w:type="dxa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cs="华文仿宋"/>
                <w:color w:val="000000" w:themeColor="text1"/>
                <w:sz w:val="21"/>
                <w:szCs w:val="21"/>
              </w:rPr>
              <w:t>滚花的加工</w:t>
            </w:r>
          </w:p>
        </w:tc>
        <w:tc>
          <w:tcPr>
            <w:tcW w:w="567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cs="华文仿宋"/>
                <w:color w:val="000000" w:themeColor="text1"/>
                <w:sz w:val="21"/>
                <w:szCs w:val="21"/>
              </w:rPr>
              <w:t>20</w:t>
            </w:r>
          </w:p>
        </w:tc>
        <w:tc>
          <w:tcPr>
            <w:tcW w:w="567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color w:val="000000" w:themeColor="text1"/>
                <w:sz w:val="21"/>
                <w:szCs w:val="21"/>
              </w:rPr>
            </w:pPr>
          </w:p>
        </w:tc>
        <w:tc>
          <w:tcPr>
            <w:tcW w:w="2471" w:type="dxa"/>
            <w:vMerge w:val="continue"/>
            <w:vAlign w:val="center"/>
          </w:tcPr>
          <w:p>
            <w:pPr>
              <w:spacing w:line="320" w:lineRule="exact"/>
              <w:ind w:firstLine="420"/>
              <w:jc w:val="center"/>
              <w:rPr>
                <w:rFonts w:ascii="宋体" w:hAnsi="宋体" w:cs="华文仿宋"/>
                <w:color w:val="2D54A0" w:themeColor="accent1" w:themeShade="BF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  <w:tblHeader/>
        </w:trPr>
        <w:tc>
          <w:tcPr>
            <w:tcW w:w="817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color w:val="000000" w:themeColor="text1"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color w:val="000000" w:themeColor="text1"/>
                <w:sz w:val="21"/>
                <w:szCs w:val="21"/>
              </w:rPr>
            </w:pPr>
          </w:p>
        </w:tc>
        <w:tc>
          <w:tcPr>
            <w:tcW w:w="1750" w:type="dxa"/>
            <w:vMerge w:val="continue"/>
            <w:vAlign w:val="center"/>
          </w:tcPr>
          <w:p>
            <w:pPr>
              <w:spacing w:line="320" w:lineRule="exact"/>
              <w:ind w:firstLine="0" w:firstLineChars="0"/>
              <w:jc w:val="lef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2361" w:type="dxa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cs="华文仿宋"/>
                <w:color w:val="000000" w:themeColor="text1"/>
                <w:sz w:val="21"/>
                <w:szCs w:val="21"/>
              </w:rPr>
              <w:t>车外圆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cs="华文仿宋"/>
                <w:color w:val="000000" w:themeColor="text1"/>
                <w:sz w:val="21"/>
                <w:szCs w:val="21"/>
              </w:rPr>
              <w:t>锥面</w:t>
            </w:r>
          </w:p>
        </w:tc>
        <w:tc>
          <w:tcPr>
            <w:tcW w:w="567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cs="华文仿宋"/>
                <w:color w:val="000000" w:themeColor="text1"/>
                <w:sz w:val="21"/>
                <w:szCs w:val="21"/>
              </w:rPr>
              <w:t>20</w:t>
            </w:r>
          </w:p>
        </w:tc>
        <w:tc>
          <w:tcPr>
            <w:tcW w:w="567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color w:val="000000" w:themeColor="text1"/>
                <w:sz w:val="21"/>
                <w:szCs w:val="21"/>
              </w:rPr>
            </w:pPr>
          </w:p>
        </w:tc>
        <w:tc>
          <w:tcPr>
            <w:tcW w:w="2471" w:type="dxa"/>
            <w:vMerge w:val="continue"/>
            <w:vAlign w:val="center"/>
          </w:tcPr>
          <w:p>
            <w:pPr>
              <w:spacing w:line="320" w:lineRule="exact"/>
              <w:ind w:firstLine="420"/>
              <w:jc w:val="center"/>
              <w:rPr>
                <w:rFonts w:ascii="宋体" w:hAnsi="宋体" w:cs="华文仿宋"/>
                <w:color w:val="2D54A0" w:themeColor="accent1" w:themeShade="BF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  <w:tblHeader/>
        </w:trPr>
        <w:tc>
          <w:tcPr>
            <w:tcW w:w="817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color w:val="000000" w:themeColor="text1"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color w:val="000000" w:themeColor="text1"/>
                <w:sz w:val="21"/>
                <w:szCs w:val="21"/>
              </w:rPr>
            </w:pPr>
          </w:p>
        </w:tc>
        <w:tc>
          <w:tcPr>
            <w:tcW w:w="1750" w:type="dxa"/>
            <w:vMerge w:val="continue"/>
            <w:vAlign w:val="center"/>
          </w:tcPr>
          <w:p>
            <w:pPr>
              <w:spacing w:line="320" w:lineRule="exact"/>
              <w:ind w:firstLine="0" w:firstLineChars="0"/>
              <w:jc w:val="lef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2361" w:type="dxa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cs="华文仿宋"/>
                <w:color w:val="000000" w:themeColor="text1"/>
                <w:sz w:val="21"/>
                <w:szCs w:val="21"/>
              </w:rPr>
              <w:t>车内圆锥面</w:t>
            </w:r>
          </w:p>
        </w:tc>
        <w:tc>
          <w:tcPr>
            <w:tcW w:w="567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cs="华文仿宋"/>
                <w:color w:val="000000" w:themeColor="text1"/>
                <w:sz w:val="21"/>
                <w:szCs w:val="21"/>
              </w:rPr>
              <w:t>20</w:t>
            </w:r>
          </w:p>
        </w:tc>
        <w:tc>
          <w:tcPr>
            <w:tcW w:w="567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color w:val="000000" w:themeColor="text1"/>
                <w:sz w:val="21"/>
                <w:szCs w:val="21"/>
              </w:rPr>
            </w:pPr>
          </w:p>
        </w:tc>
        <w:tc>
          <w:tcPr>
            <w:tcW w:w="2471" w:type="dxa"/>
            <w:vMerge w:val="continue"/>
            <w:vAlign w:val="center"/>
          </w:tcPr>
          <w:p>
            <w:pPr>
              <w:spacing w:line="320" w:lineRule="exact"/>
              <w:ind w:firstLine="420"/>
              <w:jc w:val="center"/>
              <w:rPr>
                <w:rFonts w:ascii="宋体" w:hAnsi="宋体" w:cs="华文仿宋"/>
                <w:color w:val="2D54A0" w:themeColor="accent1" w:themeShade="BF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  <w:tblHeader/>
        </w:trPr>
        <w:tc>
          <w:tcPr>
            <w:tcW w:w="817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color w:val="000000" w:themeColor="text1"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color w:val="000000" w:themeColor="text1"/>
                <w:sz w:val="21"/>
                <w:szCs w:val="21"/>
              </w:rPr>
            </w:pPr>
          </w:p>
        </w:tc>
        <w:tc>
          <w:tcPr>
            <w:tcW w:w="1750" w:type="dxa"/>
            <w:vMerge w:val="continue"/>
            <w:vAlign w:val="center"/>
          </w:tcPr>
          <w:p>
            <w:pPr>
              <w:spacing w:line="320" w:lineRule="exact"/>
              <w:ind w:firstLine="0" w:firstLineChars="0"/>
              <w:jc w:val="lef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2361" w:type="dxa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cs="华文仿宋"/>
                <w:color w:val="000000" w:themeColor="text1"/>
                <w:sz w:val="21"/>
                <w:szCs w:val="21"/>
              </w:rPr>
              <w:t>槽的切削</w:t>
            </w:r>
          </w:p>
        </w:tc>
        <w:tc>
          <w:tcPr>
            <w:tcW w:w="567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cs="华文仿宋"/>
                <w:color w:val="000000" w:themeColor="text1"/>
                <w:sz w:val="21"/>
                <w:szCs w:val="21"/>
              </w:rPr>
              <w:t>20</w:t>
            </w:r>
          </w:p>
        </w:tc>
        <w:tc>
          <w:tcPr>
            <w:tcW w:w="567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color w:val="000000" w:themeColor="text1"/>
                <w:sz w:val="21"/>
                <w:szCs w:val="21"/>
              </w:rPr>
            </w:pPr>
          </w:p>
        </w:tc>
        <w:tc>
          <w:tcPr>
            <w:tcW w:w="2471" w:type="dxa"/>
            <w:vMerge w:val="continue"/>
            <w:vAlign w:val="center"/>
          </w:tcPr>
          <w:p>
            <w:pPr>
              <w:spacing w:line="320" w:lineRule="exact"/>
              <w:ind w:firstLine="420"/>
              <w:jc w:val="center"/>
              <w:rPr>
                <w:rFonts w:ascii="宋体" w:hAnsi="宋体" w:cs="华文仿宋"/>
                <w:color w:val="2D54A0" w:themeColor="accent1" w:themeShade="BF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  <w:tblHeader/>
        </w:trPr>
        <w:tc>
          <w:tcPr>
            <w:tcW w:w="817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color w:val="000000" w:themeColor="text1"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color w:val="000000" w:themeColor="text1"/>
                <w:sz w:val="21"/>
                <w:szCs w:val="21"/>
              </w:rPr>
            </w:pPr>
          </w:p>
        </w:tc>
        <w:tc>
          <w:tcPr>
            <w:tcW w:w="1750" w:type="dxa"/>
            <w:vMerge w:val="continue"/>
            <w:vAlign w:val="center"/>
          </w:tcPr>
          <w:p>
            <w:pPr>
              <w:spacing w:line="320" w:lineRule="exact"/>
              <w:ind w:firstLine="0" w:firstLineChars="0"/>
              <w:jc w:val="lef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2361" w:type="dxa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cs="华文仿宋"/>
                <w:color w:val="000000" w:themeColor="text1"/>
                <w:sz w:val="21"/>
                <w:szCs w:val="21"/>
              </w:rPr>
              <w:t>外螺纹加工</w:t>
            </w:r>
          </w:p>
        </w:tc>
        <w:tc>
          <w:tcPr>
            <w:tcW w:w="567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cs="华文仿宋"/>
                <w:color w:val="000000" w:themeColor="text1"/>
                <w:sz w:val="21"/>
                <w:szCs w:val="21"/>
              </w:rPr>
              <w:t>20</w:t>
            </w:r>
          </w:p>
        </w:tc>
        <w:tc>
          <w:tcPr>
            <w:tcW w:w="567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color w:val="000000" w:themeColor="text1"/>
                <w:sz w:val="21"/>
                <w:szCs w:val="21"/>
              </w:rPr>
            </w:pPr>
          </w:p>
        </w:tc>
        <w:tc>
          <w:tcPr>
            <w:tcW w:w="2471" w:type="dxa"/>
            <w:vMerge w:val="continue"/>
            <w:vAlign w:val="center"/>
          </w:tcPr>
          <w:p>
            <w:pPr>
              <w:spacing w:line="320" w:lineRule="exact"/>
              <w:ind w:firstLine="420"/>
              <w:jc w:val="center"/>
              <w:rPr>
                <w:rFonts w:ascii="宋体" w:hAnsi="宋体" w:cs="华文仿宋"/>
                <w:color w:val="2D54A0" w:themeColor="accent1" w:themeShade="BF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  <w:tblHeader/>
        </w:trPr>
        <w:tc>
          <w:tcPr>
            <w:tcW w:w="817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color w:val="000000" w:themeColor="text1"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color w:val="000000" w:themeColor="text1"/>
                <w:sz w:val="21"/>
                <w:szCs w:val="21"/>
              </w:rPr>
            </w:pPr>
          </w:p>
        </w:tc>
        <w:tc>
          <w:tcPr>
            <w:tcW w:w="1750" w:type="dxa"/>
            <w:vAlign w:val="center"/>
          </w:tcPr>
          <w:p>
            <w:pPr>
              <w:spacing w:line="320" w:lineRule="exact"/>
              <w:ind w:firstLine="0" w:firstLineChars="0"/>
              <w:jc w:val="lef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 w:cs="仿宋"/>
                <w:color w:val="000000" w:themeColor="text1"/>
                <w:sz w:val="21"/>
                <w:szCs w:val="21"/>
              </w:rPr>
              <w:t>评委现场给出量具使用要求</w:t>
            </w:r>
          </w:p>
        </w:tc>
        <w:tc>
          <w:tcPr>
            <w:tcW w:w="2361" w:type="dxa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cs="华文仿宋"/>
                <w:color w:val="000000" w:themeColor="text1"/>
                <w:sz w:val="21"/>
                <w:szCs w:val="21"/>
              </w:rPr>
              <w:t>量具的使用</w:t>
            </w:r>
          </w:p>
        </w:tc>
        <w:tc>
          <w:tcPr>
            <w:tcW w:w="567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cs="华文仿宋"/>
                <w:color w:val="000000" w:themeColor="text1"/>
                <w:sz w:val="21"/>
                <w:szCs w:val="21"/>
              </w:rPr>
              <w:t>20</w:t>
            </w:r>
          </w:p>
        </w:tc>
        <w:tc>
          <w:tcPr>
            <w:tcW w:w="567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cs="华文仿宋"/>
                <w:color w:val="000000" w:themeColor="text1"/>
                <w:sz w:val="21"/>
                <w:szCs w:val="21"/>
              </w:rPr>
              <w:t>20</w:t>
            </w:r>
          </w:p>
        </w:tc>
        <w:tc>
          <w:tcPr>
            <w:tcW w:w="2471" w:type="dxa"/>
            <w:vMerge w:val="continue"/>
            <w:vAlign w:val="center"/>
          </w:tcPr>
          <w:p>
            <w:pPr>
              <w:spacing w:line="320" w:lineRule="exact"/>
              <w:ind w:firstLine="420"/>
              <w:jc w:val="center"/>
              <w:rPr>
                <w:rFonts w:ascii="宋体" w:hAnsi="宋体" w:cs="华文仿宋"/>
                <w:color w:val="2D54A0" w:themeColor="accent1" w:themeShade="BF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  <w:tblHeader/>
        </w:trPr>
        <w:tc>
          <w:tcPr>
            <w:tcW w:w="817" w:type="dxa"/>
            <w:vMerge w:val="continue"/>
            <w:vAlign w:val="center"/>
          </w:tcPr>
          <w:p>
            <w:pPr>
              <w:spacing w:line="320" w:lineRule="exact"/>
              <w:ind w:firstLine="0" w:firstLineChars="0"/>
              <w:jc w:val="lef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spacing w:line="320" w:lineRule="exact"/>
              <w:ind w:firstLine="0" w:firstLineChars="0"/>
              <w:jc w:val="lef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750" w:type="dxa"/>
            <w:vAlign w:val="center"/>
          </w:tcPr>
          <w:p>
            <w:pPr>
              <w:spacing w:line="320" w:lineRule="exact"/>
              <w:ind w:firstLine="0" w:firstLineChars="0"/>
              <w:jc w:val="lef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 w:cs="仿宋"/>
                <w:color w:val="000000" w:themeColor="text1"/>
                <w:sz w:val="21"/>
                <w:szCs w:val="21"/>
              </w:rPr>
              <w:t>评委现场给出文明生产要求</w:t>
            </w:r>
          </w:p>
        </w:tc>
        <w:tc>
          <w:tcPr>
            <w:tcW w:w="2361" w:type="dxa"/>
            <w:vAlign w:val="center"/>
          </w:tcPr>
          <w:p>
            <w:pPr>
              <w:spacing w:line="320" w:lineRule="exact"/>
              <w:ind w:firstLine="0" w:firstLineChars="0"/>
              <w:jc w:val="lef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机床操作规范文明生产</w:t>
            </w:r>
          </w:p>
        </w:tc>
        <w:tc>
          <w:tcPr>
            <w:tcW w:w="567" w:type="dxa"/>
            <w:vAlign w:val="center"/>
          </w:tcPr>
          <w:p>
            <w:pPr>
              <w:spacing w:line="320" w:lineRule="exact"/>
              <w:ind w:firstLine="0" w:firstLineChars="0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10</w:t>
            </w:r>
          </w:p>
        </w:tc>
        <w:tc>
          <w:tcPr>
            <w:tcW w:w="567" w:type="dxa"/>
            <w:vAlign w:val="center"/>
          </w:tcPr>
          <w:p>
            <w:pPr>
              <w:spacing w:line="320" w:lineRule="exact"/>
              <w:ind w:firstLine="0" w:firstLineChars="0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10</w:t>
            </w:r>
          </w:p>
        </w:tc>
        <w:tc>
          <w:tcPr>
            <w:tcW w:w="2471" w:type="dxa"/>
            <w:vMerge w:val="continue"/>
            <w:vAlign w:val="center"/>
          </w:tcPr>
          <w:p>
            <w:pPr>
              <w:spacing w:line="320" w:lineRule="exact"/>
              <w:ind w:firstLine="0" w:firstLineChars="0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</w:tbl>
    <w:p>
      <w:pPr>
        <w:pStyle w:val="3"/>
        <w:ind w:firstLine="482"/>
        <w:rPr>
          <w:rFonts w:hint="default"/>
        </w:rPr>
      </w:pPr>
      <w:r>
        <w:t>五</w:t>
      </w:r>
      <w:r>
        <w:rPr>
          <w:rFonts w:hint="default"/>
        </w:rPr>
        <w:t>、考试大纲</w:t>
      </w:r>
      <w:r>
        <w:t>编制</w:t>
      </w:r>
      <w:r>
        <w:rPr>
          <w:rFonts w:hint="default"/>
        </w:rPr>
        <w:t>说明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1.考试大纲编制原则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遵循专业基础知识和岗位核心能力相结合原则，选取本专业典型专业技能，将专业知识融入技能操作，考查技能训练教学效果，考核学生职业岗位工作过程；兼顾中等职业学校机械制造类各专业教学标准和技术新标准，选取通用知识与技能作为考核项目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2.考试大纲适用专业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本考试大纲适用于中等职业学校机械制造技术、机械加工技术、数控技术应用、增材制造技术应用、模具制造技术专业。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3.教学内容及实施建议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（1）考纲对应教学内容，全面考核中职学生在机械设计、机械设备、机械加工、机械绘图与识图、零部件精度的控制与检验等方面综合性的能力，以适应制造产业需求。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2）教学实施建议，本次给定的2024年考核项目是中等职业学校机械制造类专业教学内容的一部分，考核项目难度每年会有一定调整；建议中等职业学校依据各专业教学标准，合理匹配理论与实践教学，全面提升学生专业能力及综合职业素养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4.技能考试过程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机械制造类专业技能考试采取设备实操方式进行，时间为60分钟；依据不同技能考核项目综合考察学生合理操作机械设备、合理安排加工工艺、正确对工件进行检测、正确使用刀具以及安全文明生产情况。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5.评价赋分形式</w:t>
      </w:r>
    </w:p>
    <w:p>
      <w:pPr>
        <w:spacing w:line="440" w:lineRule="exact"/>
        <w:ind w:firstLine="48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机械制造类专业技能考核为过程性评价，同时注重加工质量，权重合理。</w:t>
      </w:r>
    </w:p>
    <w:p>
      <w:pPr>
        <w:ind w:firstLine="480"/>
        <w:jc w:val="left"/>
        <w:rPr>
          <w:rFonts w:ascii="黑体" w:hAnsi="黑体" w:eastAsia="黑体" w:cs="黑体"/>
          <w:bCs/>
        </w:rPr>
      </w:pPr>
    </w:p>
    <w:p>
      <w:pPr>
        <w:pStyle w:val="3"/>
        <w:ind w:firstLine="480"/>
        <w:rPr>
          <w:rFonts w:hint="default" w:cs="Arial"/>
          <w:b w:val="0"/>
        </w:rPr>
      </w:pPr>
      <w:bookmarkStart w:id="0" w:name="_GoBack"/>
      <w:bookmarkEnd w:id="0"/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440" w:bottom="1440" w:left="144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480"/>
      </w:pPr>
      <w:r>
        <w:separator/>
      </w:r>
    </w:p>
  </w:endnote>
  <w:endnote w:type="continuationSeparator" w:id="1">
    <w:p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E-HZ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981433571"/>
    </w:sdtPr>
    <w:sdtContent>
      <w:p>
        <w:pPr>
          <w:pStyle w:val="5"/>
          <w:ind w:firstLine="360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15</w:t>
        </w:r>
        <w:r>
          <w:rPr>
            <w:lang w:val="zh-CN"/>
          </w:rPr>
          <w:fldChar w:fldCharType="end"/>
        </w:r>
      </w:p>
    </w:sdtContent>
  </w:sdt>
  <w:p>
    <w:pPr>
      <w:ind w:firstLine="4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0"/>
    </w:pPr>
  </w:p>
  <w:p>
    <w:pPr>
      <w:ind w:firstLine="480"/>
    </w:pPr>
  </w:p>
  <w:p>
    <w:pPr>
      <w:ind w:firstLine="480"/>
    </w:pPr>
  </w:p>
  <w:p>
    <w:pPr>
      <w:ind w:firstLine="48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480"/>
      </w:pPr>
      <w:r>
        <w:separator/>
      </w:r>
    </w:p>
  </w:footnote>
  <w:footnote w:type="continuationSeparator" w:id="1">
    <w:p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ind w:firstLine="0" w:firstLineChars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  <w:p>
    <w:pPr>
      <w:ind w:firstLine="480"/>
    </w:pPr>
  </w:p>
  <w:p>
    <w:pPr>
      <w:ind w:firstLine="480"/>
    </w:pPr>
  </w:p>
  <w:p>
    <w:pPr>
      <w:ind w:firstLine="48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48B3FBD"/>
    <w:multiLevelType w:val="multilevel"/>
    <w:tmpl w:val="148B3FBD"/>
    <w:lvl w:ilvl="0" w:tentative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asciiTheme="minorHAnsi" w:hAnsiTheme="minorHAnsi" w:eastAsiaTheme="minorEastAsia" w:cstheme="minorBidi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ZmFjOWUzZWFlZGNjZDlhZjdjMjlmMmY5YWQ0ODc0M2YifQ=="/>
  </w:docVars>
  <w:rsids>
    <w:rsidRoot w:val="00E81E92"/>
    <w:rsid w:val="00020476"/>
    <w:rsid w:val="00065930"/>
    <w:rsid w:val="00071CC7"/>
    <w:rsid w:val="0008650A"/>
    <w:rsid w:val="000F0D91"/>
    <w:rsid w:val="001176D4"/>
    <w:rsid w:val="001375C8"/>
    <w:rsid w:val="00156B36"/>
    <w:rsid w:val="00176FF4"/>
    <w:rsid w:val="00185A6F"/>
    <w:rsid w:val="001D6720"/>
    <w:rsid w:val="0021266F"/>
    <w:rsid w:val="00223A49"/>
    <w:rsid w:val="00267799"/>
    <w:rsid w:val="002725E8"/>
    <w:rsid w:val="002A6158"/>
    <w:rsid w:val="003237E7"/>
    <w:rsid w:val="003941F7"/>
    <w:rsid w:val="0039534D"/>
    <w:rsid w:val="003A3EE4"/>
    <w:rsid w:val="00401CBC"/>
    <w:rsid w:val="00414941"/>
    <w:rsid w:val="00431273"/>
    <w:rsid w:val="00474D4D"/>
    <w:rsid w:val="004A430B"/>
    <w:rsid w:val="0055426D"/>
    <w:rsid w:val="005873B0"/>
    <w:rsid w:val="00587AD7"/>
    <w:rsid w:val="005C7003"/>
    <w:rsid w:val="005D2216"/>
    <w:rsid w:val="005F60B2"/>
    <w:rsid w:val="006012A8"/>
    <w:rsid w:val="00630A0A"/>
    <w:rsid w:val="006E1094"/>
    <w:rsid w:val="007F3B2F"/>
    <w:rsid w:val="00856C3F"/>
    <w:rsid w:val="0087250E"/>
    <w:rsid w:val="008A57C8"/>
    <w:rsid w:val="008F2A44"/>
    <w:rsid w:val="0090253D"/>
    <w:rsid w:val="00952A78"/>
    <w:rsid w:val="00955C4C"/>
    <w:rsid w:val="009609E0"/>
    <w:rsid w:val="009917B3"/>
    <w:rsid w:val="00997B76"/>
    <w:rsid w:val="00A11C5B"/>
    <w:rsid w:val="00A13012"/>
    <w:rsid w:val="00A537BF"/>
    <w:rsid w:val="00AA4EE0"/>
    <w:rsid w:val="00AF17B8"/>
    <w:rsid w:val="00B0155B"/>
    <w:rsid w:val="00B74B8F"/>
    <w:rsid w:val="00BC1439"/>
    <w:rsid w:val="00BE4EA1"/>
    <w:rsid w:val="00CD47DC"/>
    <w:rsid w:val="00D23D69"/>
    <w:rsid w:val="00E2707B"/>
    <w:rsid w:val="00E438C5"/>
    <w:rsid w:val="00E63CBB"/>
    <w:rsid w:val="00E72BC5"/>
    <w:rsid w:val="00E81E92"/>
    <w:rsid w:val="00E97477"/>
    <w:rsid w:val="00EA1B75"/>
    <w:rsid w:val="00EC03C0"/>
    <w:rsid w:val="00ED3F02"/>
    <w:rsid w:val="00F636A5"/>
    <w:rsid w:val="00F945D2"/>
    <w:rsid w:val="00FA6415"/>
    <w:rsid w:val="00FD768F"/>
    <w:rsid w:val="038E0703"/>
    <w:rsid w:val="04B34B43"/>
    <w:rsid w:val="06360A35"/>
    <w:rsid w:val="07025EC3"/>
    <w:rsid w:val="07F64AFC"/>
    <w:rsid w:val="0BDB731D"/>
    <w:rsid w:val="0F493E93"/>
    <w:rsid w:val="0FD11210"/>
    <w:rsid w:val="126A1B24"/>
    <w:rsid w:val="15A177F9"/>
    <w:rsid w:val="186510A6"/>
    <w:rsid w:val="1B605AAE"/>
    <w:rsid w:val="1FC475AA"/>
    <w:rsid w:val="22086FD9"/>
    <w:rsid w:val="22934188"/>
    <w:rsid w:val="23F7779D"/>
    <w:rsid w:val="24600C0F"/>
    <w:rsid w:val="249C7700"/>
    <w:rsid w:val="253D3587"/>
    <w:rsid w:val="27DF1DDE"/>
    <w:rsid w:val="28092488"/>
    <w:rsid w:val="29111376"/>
    <w:rsid w:val="2B627E31"/>
    <w:rsid w:val="2DCD5A87"/>
    <w:rsid w:val="2F38363D"/>
    <w:rsid w:val="301823A9"/>
    <w:rsid w:val="330948ED"/>
    <w:rsid w:val="38755BD4"/>
    <w:rsid w:val="39D63BC2"/>
    <w:rsid w:val="3D150B68"/>
    <w:rsid w:val="3FB43F86"/>
    <w:rsid w:val="407A7E48"/>
    <w:rsid w:val="41313092"/>
    <w:rsid w:val="4171348E"/>
    <w:rsid w:val="42255655"/>
    <w:rsid w:val="438A4CDB"/>
    <w:rsid w:val="448C7851"/>
    <w:rsid w:val="44F32A2B"/>
    <w:rsid w:val="4587329F"/>
    <w:rsid w:val="47694DF5"/>
    <w:rsid w:val="48A73C3A"/>
    <w:rsid w:val="49CC236D"/>
    <w:rsid w:val="4A047CB4"/>
    <w:rsid w:val="4CB52B24"/>
    <w:rsid w:val="4D0111D0"/>
    <w:rsid w:val="50B16A74"/>
    <w:rsid w:val="515558F4"/>
    <w:rsid w:val="579F72CD"/>
    <w:rsid w:val="5E3D4F96"/>
    <w:rsid w:val="615434A5"/>
    <w:rsid w:val="6231453C"/>
    <w:rsid w:val="646B1B68"/>
    <w:rsid w:val="6991630A"/>
    <w:rsid w:val="6BB64010"/>
    <w:rsid w:val="783803BE"/>
    <w:rsid w:val="791906D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562" w:firstLineChars="200"/>
      <w:jc w:val="both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00" w:after="300" w:line="576" w:lineRule="auto"/>
      <w:jc w:val="center"/>
      <w:outlineLvl w:val="0"/>
    </w:pPr>
    <w:rPr>
      <w:rFonts w:eastAsia="黑体"/>
      <w:b/>
      <w:kern w:val="44"/>
      <w:sz w:val="28"/>
    </w:rPr>
  </w:style>
  <w:style w:type="paragraph" w:styleId="3">
    <w:name w:val="heading 2"/>
    <w:basedOn w:val="1"/>
    <w:next w:val="1"/>
    <w:unhideWhenUsed/>
    <w:qFormat/>
    <w:uiPriority w:val="0"/>
    <w:pPr>
      <w:spacing w:before="120" w:after="120" w:line="360" w:lineRule="auto"/>
      <w:jc w:val="left"/>
      <w:outlineLvl w:val="1"/>
    </w:pPr>
    <w:rPr>
      <w:rFonts w:hint="eastAsia" w:ascii="宋体" w:hAnsi="宋体" w:eastAsia="宋体" w:cs="Times New Roman"/>
      <w:b/>
      <w:bCs/>
      <w:kern w:val="0"/>
      <w:szCs w:val="36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5"/>
    <w:uiPriority w:val="0"/>
    <w:rPr>
      <w:sz w:val="18"/>
      <w:szCs w:val="18"/>
    </w:rPr>
  </w:style>
  <w:style w:type="paragraph" w:styleId="5">
    <w:name w:val="footer"/>
    <w:basedOn w:val="1"/>
    <w:link w:val="12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页眉 Char"/>
    <w:basedOn w:val="10"/>
    <w:link w:val="6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Char"/>
    <w:basedOn w:val="10"/>
    <w:link w:val="5"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3">
    <w:name w:val="fontstyle01"/>
    <w:basedOn w:val="10"/>
    <w:uiPriority w:val="0"/>
    <w:rPr>
      <w:rFonts w:hint="default" w:ascii="E-HZ" w:hAnsi="E-HZ"/>
      <w:color w:val="000000"/>
      <w:sz w:val="22"/>
      <w:szCs w:val="22"/>
    </w:rPr>
  </w:style>
  <w:style w:type="paragraph" w:styleId="14">
    <w:name w:val="List Paragraph"/>
    <w:basedOn w:val="1"/>
    <w:unhideWhenUsed/>
    <w:qFormat/>
    <w:uiPriority w:val="99"/>
    <w:pPr>
      <w:ind w:firstLine="420"/>
    </w:pPr>
  </w:style>
  <w:style w:type="character" w:customStyle="1" w:styleId="15">
    <w:name w:val="批注框文本 Char"/>
    <w:basedOn w:val="10"/>
    <w:link w:val="4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 R C</Company>
  <Pages>16</Pages>
  <Words>1628</Words>
  <Characters>9282</Characters>
  <Lines>77</Lines>
  <Paragraphs>21</Paragraphs>
  <TotalTime>40</TotalTime>
  <ScaleCrop>false</ScaleCrop>
  <LinksUpToDate>false</LinksUpToDate>
  <CharactersWithSpaces>10889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2023-11-05T04:56:00Z</dcterms:created>
  <dc:creator>季海成</dc:creator>
  <cp:lastModifiedBy>Echo</cp:lastModifiedBy>
  <cp:lastPrinted>2024-01-17T06:12:00Z</cp:lastPrinted>
  <dcterms:modified xsi:type="dcterms:W3CDTF">2024-03-05T01:22:21Z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94CC1BCDB71C42BA8DB327F61E1D70CF_13</vt:lpwstr>
  </property>
</Properties>
</file>