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480" w:lineRule="auto"/>
        <w:ind w:firstLine="0" w:firstLineChars="0"/>
        <w:rPr>
          <w:rFonts w:ascii="方正小标宋简体" w:hAnsi="方正小标宋简体" w:eastAsia="方正小标宋简体" w:cs="方正小标宋简体"/>
          <w:b w:val="0"/>
          <w:bCs/>
          <w:sz w:val="32"/>
          <w:szCs w:val="32"/>
        </w:rPr>
      </w:pPr>
      <w:r>
        <w:rPr>
          <w:rFonts w:hint="eastAsia" w:ascii="方正小标宋简体" w:hAnsi="方正小标宋简体" w:eastAsia="方正小标宋简体" w:cs="方正小标宋简体"/>
          <w:b w:val="0"/>
          <w:bCs/>
          <w:sz w:val="32"/>
          <w:szCs w:val="32"/>
        </w:rPr>
        <w:t>2024年黑龙江省职业教育春季高考矿山机电专业</w:t>
      </w:r>
    </w:p>
    <w:p>
      <w:pPr>
        <w:pStyle w:val="2"/>
        <w:spacing w:line="480" w:lineRule="auto"/>
        <w:ind w:firstLine="0" w:firstLineChars="0"/>
        <w:rPr>
          <w:rFonts w:ascii="方正小标宋简体" w:hAnsi="方正小标宋简体" w:eastAsia="方正小标宋简体" w:cs="方正小标宋简体"/>
          <w:b w:val="0"/>
          <w:bCs/>
          <w:sz w:val="32"/>
          <w:szCs w:val="32"/>
        </w:rPr>
      </w:pPr>
      <w:r>
        <w:rPr>
          <w:rFonts w:hint="eastAsia" w:ascii="方正小标宋简体" w:hAnsi="方正小标宋简体" w:eastAsia="方正小标宋简体" w:cs="方正小标宋简体"/>
          <w:b w:val="0"/>
          <w:bCs/>
          <w:sz w:val="32"/>
          <w:szCs w:val="32"/>
        </w:rPr>
        <w:t>技能操作考试大纲</w:t>
      </w:r>
    </w:p>
    <w:p>
      <w:pPr>
        <w:ind w:firstLine="480"/>
        <w:rPr>
          <w:szCs w:val="32"/>
        </w:rPr>
      </w:pPr>
    </w:p>
    <w:p>
      <w:pPr>
        <w:pStyle w:val="3"/>
        <w:ind w:firstLine="482"/>
        <w:rPr>
          <w:rFonts w:hint="default"/>
        </w:rPr>
      </w:pPr>
      <w:r>
        <w:t>一、考试依据</w:t>
      </w:r>
    </w:p>
    <w:p>
      <w:pPr>
        <w:ind w:firstLine="480"/>
        <w:rPr>
          <w:szCs w:val="32"/>
        </w:rPr>
      </w:pPr>
      <w:r>
        <w:rPr>
          <w:rFonts w:hint="eastAsia"/>
          <w:szCs w:val="32"/>
        </w:rPr>
        <w:t>1.参照中华人民共和国教育部职业教育与成人教育司颁布的《中等职业学校专业教学标准（试行）》，2017年8月26日发布。</w:t>
      </w:r>
    </w:p>
    <w:p>
      <w:pPr>
        <w:ind w:firstLine="480"/>
        <w:rPr>
          <w:szCs w:val="32"/>
        </w:rPr>
      </w:pPr>
      <w:r>
        <w:rPr>
          <w:rFonts w:hint="eastAsia"/>
          <w:szCs w:val="32"/>
        </w:rPr>
        <w:t>2.参照中华人民共和国教育部职业教育与成人教育司颁布的《职业教育专业目录（2021年修订）》；职业教育专业简介（2022年修订）。</w:t>
      </w:r>
    </w:p>
    <w:p>
      <w:pPr>
        <w:ind w:firstLine="480"/>
        <w:rPr>
          <w:szCs w:val="32"/>
        </w:rPr>
      </w:pPr>
      <w:r>
        <w:rPr>
          <w:rFonts w:hint="eastAsia"/>
          <w:szCs w:val="32"/>
        </w:rPr>
        <w:t>3.参照《国家职业技能标准(2019年修订）》（职业编码：6-31-01-03）的《电工》初、中级职业技能标准。</w:t>
      </w:r>
    </w:p>
    <w:p>
      <w:pPr>
        <w:ind w:firstLine="480"/>
        <w:rPr>
          <w:szCs w:val="32"/>
        </w:rPr>
      </w:pPr>
      <w:r>
        <w:rPr>
          <w:rFonts w:hint="eastAsia"/>
          <w:szCs w:val="32"/>
        </w:rPr>
        <w:t>4.参照《国家职业技能标准(2020年修订）》（职业编码：6-20-01-01）的《钳工》初、中级职业技能标准。</w:t>
      </w:r>
    </w:p>
    <w:p>
      <w:pPr>
        <w:ind w:firstLine="480"/>
        <w:rPr>
          <w:szCs w:val="32"/>
        </w:rPr>
      </w:pPr>
      <w:r>
        <w:rPr>
          <w:rFonts w:hint="eastAsia"/>
          <w:szCs w:val="32"/>
        </w:rPr>
        <w:t>5. 矿山机电专业对口涵盖专业范围，如表1所示。</w:t>
      </w:r>
    </w:p>
    <w:p>
      <w:pPr>
        <w:ind w:firstLine="480"/>
        <w:jc w:val="center"/>
        <w:rPr>
          <w:szCs w:val="32"/>
        </w:rPr>
      </w:pPr>
      <w:r>
        <w:rPr>
          <w:rFonts w:hint="eastAsia" w:ascii="黑体" w:hAnsi="黑体" w:eastAsia="黑体" w:cs="黑体"/>
          <w:szCs w:val="32"/>
        </w:rPr>
        <w:t>表1  矿山机电专业对口涵盖专业范围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pPr>
              <w:widowControl/>
              <w:ind w:firstLine="0" w:firstLineChars="0"/>
              <w:jc w:val="center"/>
              <w:rPr>
                <w:rFonts w:ascii="宋体" w:hAnsi="宋体" w:eastAsia="宋体" w:cs="宋体"/>
                <w:b/>
                <w:bCs/>
                <w:kern w:val="0"/>
                <w:sz w:val="21"/>
                <w:szCs w:val="21"/>
              </w:rPr>
            </w:pPr>
            <w:r>
              <w:rPr>
                <w:rFonts w:hint="eastAsia" w:ascii="宋体" w:hAnsi="宋体" w:eastAsia="宋体" w:cs="宋体"/>
                <w:b/>
                <w:bCs/>
                <w:kern w:val="0"/>
                <w:sz w:val="21"/>
                <w:szCs w:val="21"/>
              </w:rPr>
              <w:t>中等职业教育相关专业</w:t>
            </w:r>
          </w:p>
        </w:tc>
        <w:tc>
          <w:tcPr>
            <w:tcW w:w="2841" w:type="dxa"/>
            <w:vAlign w:val="center"/>
          </w:tcPr>
          <w:p>
            <w:pPr>
              <w:widowControl/>
              <w:ind w:firstLine="0" w:firstLineChars="0"/>
              <w:jc w:val="center"/>
              <w:rPr>
                <w:rFonts w:ascii="宋体" w:hAnsi="宋体" w:eastAsia="宋体" w:cs="宋体"/>
                <w:b/>
                <w:bCs/>
                <w:kern w:val="0"/>
                <w:sz w:val="21"/>
                <w:szCs w:val="21"/>
              </w:rPr>
            </w:pPr>
            <w:r>
              <w:rPr>
                <w:rFonts w:hint="eastAsia" w:ascii="宋体" w:hAnsi="宋体" w:eastAsia="宋体" w:cs="宋体"/>
                <w:b/>
                <w:bCs/>
                <w:kern w:val="0"/>
                <w:sz w:val="21"/>
                <w:szCs w:val="21"/>
              </w:rPr>
              <w:t>接续高职专科相关专业</w:t>
            </w:r>
          </w:p>
        </w:tc>
        <w:tc>
          <w:tcPr>
            <w:tcW w:w="2841" w:type="dxa"/>
            <w:vAlign w:val="center"/>
          </w:tcPr>
          <w:p>
            <w:pPr>
              <w:widowControl/>
              <w:ind w:firstLine="0" w:firstLineChars="0"/>
              <w:jc w:val="center"/>
              <w:rPr>
                <w:rFonts w:ascii="宋体" w:hAnsi="宋体" w:eastAsia="宋体" w:cs="宋体"/>
                <w:b/>
                <w:bCs/>
                <w:kern w:val="0"/>
                <w:sz w:val="21"/>
                <w:szCs w:val="21"/>
              </w:rPr>
            </w:pPr>
            <w:r>
              <w:rPr>
                <w:rFonts w:hint="eastAsia" w:ascii="宋体" w:hAnsi="宋体" w:eastAsia="宋体" w:cs="宋体"/>
                <w:b/>
                <w:bCs/>
                <w:kern w:val="0"/>
                <w:sz w:val="21"/>
                <w:szCs w:val="21"/>
              </w:rPr>
              <w:t>接续高职本科专业</w:t>
            </w:r>
          </w:p>
          <w:p>
            <w:pPr>
              <w:widowControl/>
              <w:ind w:firstLine="0" w:firstLineChars="0"/>
              <w:jc w:val="center"/>
              <w:rPr>
                <w:rFonts w:ascii="宋体" w:hAnsi="宋体" w:eastAsia="宋体" w:cs="宋体"/>
                <w:b/>
                <w:bCs/>
                <w:kern w:val="0"/>
                <w:sz w:val="21"/>
                <w:szCs w:val="21"/>
              </w:rPr>
            </w:pPr>
            <w:r>
              <w:rPr>
                <w:rFonts w:hint="eastAsia" w:ascii="宋体" w:hAnsi="宋体" w:eastAsia="宋体" w:cs="宋体"/>
                <w:b/>
                <w:bCs/>
                <w:kern w:val="0"/>
                <w:sz w:val="21"/>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6" w:hRule="atLeast"/>
          <w:jc w:val="center"/>
        </w:trPr>
        <w:tc>
          <w:tcPr>
            <w:tcW w:w="2840" w:type="dxa"/>
          </w:tcPr>
          <w:p>
            <w:pPr>
              <w:widowControl/>
              <w:ind w:firstLine="0" w:firstLineChars="0"/>
              <w:jc w:val="center"/>
              <w:rPr>
                <w:rFonts w:ascii="Times New Roman" w:hAnsi="Times New Roman" w:eastAsia="宋体" w:cs="Times New Roman"/>
                <w:kern w:val="0"/>
                <w:sz w:val="21"/>
                <w:szCs w:val="21"/>
              </w:rPr>
            </w:pPr>
            <w:r>
              <w:rPr>
                <w:rFonts w:hint="eastAsia" w:ascii="宋体" w:hAnsi="宋体" w:eastAsia="宋体" w:cs="宋体"/>
                <w:kern w:val="0"/>
                <w:sz w:val="21"/>
                <w:szCs w:val="21"/>
              </w:rPr>
              <w:t>矿山机电</w:t>
            </w:r>
            <w:r>
              <w:rPr>
                <w:rFonts w:hint="eastAsia" w:ascii="Times New Roman" w:hAnsi="Times New Roman" w:eastAsia="宋体" w:cs="Times New Roman"/>
                <w:kern w:val="0"/>
                <w:sz w:val="21"/>
                <w:szCs w:val="21"/>
              </w:rPr>
              <w:t>620504</w:t>
            </w:r>
          </w:p>
          <w:p>
            <w:pPr>
              <w:widowControl/>
              <w:ind w:firstLine="420"/>
              <w:jc w:val="center"/>
              <w:rPr>
                <w:rFonts w:ascii="微软雅黑" w:hAnsi="微软雅黑" w:eastAsia="微软雅黑" w:cs="微软雅黑"/>
                <w:sz w:val="21"/>
                <w:szCs w:val="21"/>
              </w:rPr>
            </w:pPr>
          </w:p>
        </w:tc>
        <w:tc>
          <w:tcPr>
            <w:tcW w:w="2841" w:type="dxa"/>
          </w:tcPr>
          <w:p>
            <w:pPr>
              <w:widowControl/>
              <w:ind w:firstLine="0" w:firstLineChars="0"/>
              <w:jc w:val="center"/>
              <w:rPr>
                <w:rFonts w:ascii="Times New Roman" w:hAnsi="Times New Roman" w:eastAsia="仿宋_GB2312" w:cs="仿宋_GB2312"/>
                <w:kern w:val="0"/>
                <w:sz w:val="21"/>
                <w:szCs w:val="21"/>
              </w:rPr>
            </w:pPr>
            <w:r>
              <w:rPr>
                <w:rFonts w:hint="eastAsia" w:ascii="宋体" w:hAnsi="宋体" w:eastAsia="宋体" w:cs="宋体"/>
                <w:kern w:val="0"/>
                <w:sz w:val="21"/>
                <w:szCs w:val="21"/>
              </w:rPr>
              <w:t>矿山机电与智能装备</w:t>
            </w:r>
            <w:r>
              <w:rPr>
                <w:rFonts w:hint="eastAsia" w:ascii="Times New Roman" w:hAnsi="Times New Roman" w:eastAsia="仿宋_GB2312" w:cs="仿宋_GB2312"/>
                <w:kern w:val="0"/>
                <w:sz w:val="21"/>
                <w:szCs w:val="21"/>
              </w:rPr>
              <w:t>420504</w:t>
            </w:r>
          </w:p>
          <w:p>
            <w:pPr>
              <w:widowControl/>
              <w:ind w:firstLine="420"/>
              <w:rPr>
                <w:rFonts w:ascii="宋体" w:hAnsi="宋体" w:eastAsia="宋体" w:cs="宋体"/>
                <w:kern w:val="0"/>
                <w:sz w:val="21"/>
                <w:szCs w:val="21"/>
              </w:rPr>
            </w:pPr>
          </w:p>
          <w:p>
            <w:pPr>
              <w:widowControl/>
              <w:ind w:firstLine="420"/>
              <w:rPr>
                <w:rFonts w:ascii="微软雅黑" w:hAnsi="微软雅黑" w:eastAsia="微软雅黑" w:cs="微软雅黑"/>
                <w:sz w:val="21"/>
                <w:szCs w:val="21"/>
              </w:rPr>
            </w:pPr>
            <w:r>
              <w:rPr>
                <w:rFonts w:hint="eastAsia" w:ascii="宋体" w:hAnsi="宋体" w:eastAsia="宋体" w:cs="宋体"/>
                <w:kern w:val="0"/>
                <w:sz w:val="21"/>
                <w:szCs w:val="21"/>
              </w:rPr>
              <w:t>机电一体化技术460301</w:t>
            </w:r>
          </w:p>
        </w:tc>
        <w:tc>
          <w:tcPr>
            <w:tcW w:w="2841" w:type="dxa"/>
          </w:tcPr>
          <w:p>
            <w:pPr>
              <w:widowControl/>
              <w:ind w:firstLine="0" w:firstLineChars="0"/>
              <w:jc w:val="center"/>
              <w:rPr>
                <w:rFonts w:ascii="宋体" w:hAnsi="宋体" w:eastAsia="宋体" w:cs="宋体"/>
                <w:kern w:val="0"/>
                <w:sz w:val="21"/>
                <w:szCs w:val="21"/>
              </w:rPr>
            </w:pPr>
            <w:r>
              <w:rPr>
                <w:rFonts w:hint="eastAsia" w:ascii="宋体" w:hAnsi="宋体" w:eastAsia="宋体" w:cs="宋体"/>
                <w:kern w:val="0"/>
                <w:sz w:val="21"/>
                <w:szCs w:val="21"/>
              </w:rPr>
              <w:t>装备智能化技术260201</w:t>
            </w:r>
          </w:p>
          <w:p>
            <w:pPr>
              <w:widowControl/>
              <w:ind w:firstLine="0" w:firstLineChars="0"/>
              <w:jc w:val="center"/>
              <w:rPr>
                <w:rFonts w:ascii="宋体" w:hAnsi="宋体" w:eastAsia="宋体" w:cs="宋体"/>
                <w:kern w:val="0"/>
                <w:sz w:val="21"/>
                <w:szCs w:val="21"/>
              </w:rPr>
            </w:pPr>
            <w:r>
              <w:rPr>
                <w:rFonts w:hint="eastAsia" w:ascii="宋体" w:hAnsi="宋体" w:eastAsia="宋体" w:cs="宋体"/>
                <w:kern w:val="0"/>
                <w:sz w:val="21"/>
                <w:szCs w:val="21"/>
              </w:rPr>
              <w:t>（机电设备类）</w:t>
            </w:r>
          </w:p>
          <w:p>
            <w:pPr>
              <w:widowControl/>
              <w:ind w:firstLine="0" w:firstLineChars="0"/>
              <w:jc w:val="center"/>
              <w:rPr>
                <w:rFonts w:ascii="宋体" w:hAnsi="宋体" w:eastAsia="宋体" w:cs="宋体"/>
                <w:kern w:val="0"/>
                <w:sz w:val="21"/>
                <w:szCs w:val="21"/>
              </w:rPr>
            </w:pPr>
            <w:r>
              <w:rPr>
                <w:rFonts w:hint="eastAsia" w:ascii="宋体" w:hAnsi="宋体" w:eastAsia="宋体" w:cs="宋体"/>
                <w:kern w:val="0"/>
                <w:sz w:val="21"/>
                <w:szCs w:val="21"/>
              </w:rPr>
              <w:t>电气工程及自动化260302</w:t>
            </w:r>
          </w:p>
          <w:p>
            <w:pPr>
              <w:widowControl/>
              <w:ind w:firstLine="0" w:firstLineChars="0"/>
              <w:jc w:val="center"/>
              <w:rPr>
                <w:rFonts w:ascii="宋体" w:hAnsi="宋体" w:eastAsia="宋体" w:cs="宋体"/>
                <w:kern w:val="0"/>
                <w:sz w:val="21"/>
                <w:szCs w:val="21"/>
              </w:rPr>
            </w:pPr>
            <w:r>
              <w:rPr>
                <w:rFonts w:hint="eastAsia" w:ascii="宋体" w:hAnsi="宋体" w:eastAsia="宋体" w:cs="宋体"/>
                <w:kern w:val="0"/>
                <w:sz w:val="21"/>
                <w:szCs w:val="21"/>
              </w:rPr>
              <w:t>（自动化类）</w:t>
            </w:r>
          </w:p>
          <w:p>
            <w:pPr>
              <w:widowControl/>
              <w:ind w:firstLine="0" w:firstLineChars="0"/>
              <w:jc w:val="center"/>
              <w:rPr>
                <w:rFonts w:ascii="宋体" w:hAnsi="宋体" w:eastAsia="宋体" w:cs="宋体"/>
                <w:kern w:val="0"/>
                <w:sz w:val="21"/>
                <w:szCs w:val="21"/>
              </w:rPr>
            </w:pPr>
            <w:r>
              <w:rPr>
                <w:rFonts w:hint="eastAsia" w:ascii="宋体" w:hAnsi="宋体" w:eastAsia="宋体" w:cs="宋体"/>
                <w:kern w:val="0"/>
                <w:sz w:val="21"/>
                <w:szCs w:val="21"/>
              </w:rPr>
              <w:t>智能控制技术260303</w:t>
            </w:r>
          </w:p>
          <w:p>
            <w:pPr>
              <w:widowControl/>
              <w:ind w:firstLine="0" w:firstLineChars="0"/>
              <w:jc w:val="center"/>
              <w:rPr>
                <w:rFonts w:ascii="微软雅黑" w:hAnsi="微软雅黑" w:eastAsia="微软雅黑" w:cs="微软雅黑"/>
                <w:sz w:val="21"/>
                <w:szCs w:val="21"/>
              </w:rPr>
            </w:pPr>
            <w:r>
              <w:rPr>
                <w:rFonts w:hint="eastAsia" w:ascii="宋体" w:hAnsi="宋体" w:eastAsia="宋体" w:cs="宋体"/>
                <w:kern w:val="0"/>
                <w:sz w:val="21"/>
                <w:szCs w:val="21"/>
              </w:rPr>
              <w:t>（自动化类）</w:t>
            </w:r>
          </w:p>
        </w:tc>
      </w:tr>
    </w:tbl>
    <w:p>
      <w:pPr>
        <w:ind w:firstLine="480"/>
        <w:rPr>
          <w:szCs w:val="32"/>
        </w:rPr>
      </w:pPr>
    </w:p>
    <w:p>
      <w:pPr>
        <w:pStyle w:val="3"/>
        <w:ind w:firstLine="482"/>
        <w:rPr>
          <w:rFonts w:hint="default"/>
        </w:rPr>
      </w:pPr>
      <w:r>
        <w:t>二、考试方式</w:t>
      </w:r>
    </w:p>
    <w:p>
      <w:pPr>
        <w:ind w:firstLine="480"/>
        <w:rPr>
          <w:szCs w:val="32"/>
        </w:rPr>
      </w:pPr>
      <w:r>
        <w:rPr>
          <w:rFonts w:hint="eastAsia"/>
          <w:szCs w:val="32"/>
        </w:rPr>
        <w:t>2024年黑龙江省职业教育春季高考矿山机电专业技能考试为实际操作考试方式，考试总分为200分，实操项目随机抽取，考试时间为15分钟。</w:t>
      </w:r>
    </w:p>
    <w:p>
      <w:pPr>
        <w:ind w:firstLine="0" w:firstLineChars="0"/>
        <w:rPr>
          <w:szCs w:val="32"/>
        </w:rPr>
      </w:pPr>
    </w:p>
    <w:p>
      <w:pPr>
        <w:pStyle w:val="3"/>
        <w:ind w:firstLine="482"/>
        <w:rPr>
          <w:rFonts w:hint="default"/>
        </w:rPr>
      </w:pPr>
      <w:r>
        <w:t>三、考试范围和要求</w:t>
      </w:r>
    </w:p>
    <w:p>
      <w:pPr>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tabs>
          <w:tab w:val="left" w:pos="451"/>
        </w:tabs>
        <w:ind w:firstLine="482"/>
        <w:rPr>
          <w:szCs w:val="32"/>
        </w:rPr>
      </w:pPr>
      <w:r>
        <w:rPr>
          <w:rFonts w:hint="eastAsia"/>
          <w:b/>
          <w:bCs/>
          <w:szCs w:val="32"/>
        </w:rPr>
        <w:t>技能模块1  电器设备防爆检查</w:t>
      </w:r>
      <w:r>
        <w:rPr>
          <w:rFonts w:hint="eastAsia" w:ascii="宋体" w:hAnsi="宋体" w:eastAsia="宋体" w:cs="宋体"/>
          <w:b/>
          <w:bCs/>
          <w:szCs w:val="32"/>
        </w:rPr>
        <w:t>安全操作</w:t>
      </w:r>
    </w:p>
    <w:p>
      <w:pPr>
        <w:ind w:firstLine="480"/>
        <w:rPr>
          <w:szCs w:val="32"/>
        </w:rPr>
      </w:pPr>
      <w:r>
        <w:rPr>
          <w:rFonts w:hint="eastAsia"/>
          <w:szCs w:val="32"/>
        </w:rPr>
        <w:t>1.知识与技能</w:t>
      </w:r>
    </w:p>
    <w:p>
      <w:pPr>
        <w:ind w:firstLine="480"/>
        <w:rPr>
          <w:szCs w:val="32"/>
        </w:rPr>
      </w:pPr>
      <w:r>
        <w:rPr>
          <w:rFonts w:hint="eastAsia"/>
          <w:szCs w:val="32"/>
        </w:rPr>
        <w:t>（1）掌握常见的电气失爆现象。</w:t>
      </w:r>
    </w:p>
    <w:p>
      <w:pPr>
        <w:ind w:firstLine="480"/>
        <w:rPr>
          <w:szCs w:val="32"/>
        </w:rPr>
      </w:pPr>
      <w:r>
        <w:rPr>
          <w:rFonts w:hint="eastAsia"/>
          <w:szCs w:val="32"/>
        </w:rPr>
        <w:t xml:space="preserve">（2）掌握安全用具的使用方法。 </w:t>
      </w:r>
    </w:p>
    <w:p>
      <w:pPr>
        <w:ind w:firstLine="480"/>
        <w:rPr>
          <w:szCs w:val="32"/>
        </w:rPr>
      </w:pPr>
      <w:r>
        <w:rPr>
          <w:rFonts w:hint="eastAsia"/>
          <w:szCs w:val="32"/>
        </w:rPr>
        <w:t xml:space="preserve">2.设备与材料 </w:t>
      </w:r>
    </w:p>
    <w:p>
      <w:pPr>
        <w:ind w:firstLine="480"/>
        <w:rPr>
          <w:szCs w:val="32"/>
        </w:rPr>
      </w:pPr>
      <w:r>
        <w:rPr>
          <w:rFonts w:hint="eastAsia"/>
          <w:szCs w:val="32"/>
        </w:rPr>
        <w:t>（1）验电笔，携带式接地线。</w:t>
      </w:r>
    </w:p>
    <w:p>
      <w:pPr>
        <w:ind w:firstLine="480"/>
        <w:rPr>
          <w:szCs w:val="32"/>
        </w:rPr>
      </w:pPr>
      <w:r>
        <w:rPr>
          <w:rFonts w:hint="eastAsia"/>
          <w:szCs w:val="32"/>
        </w:rPr>
        <w:t>（2）拆卸工具。</w:t>
      </w:r>
    </w:p>
    <w:p>
      <w:pPr>
        <w:ind w:firstLine="480"/>
        <w:rPr>
          <w:szCs w:val="32"/>
        </w:rPr>
      </w:pPr>
      <w:r>
        <w:rPr>
          <w:rFonts w:hint="eastAsia"/>
          <w:szCs w:val="32"/>
        </w:rPr>
        <w:t>（3）塞尺。</w:t>
      </w:r>
    </w:p>
    <w:p>
      <w:pPr>
        <w:ind w:firstLine="480"/>
        <w:rPr>
          <w:szCs w:val="32"/>
        </w:rPr>
      </w:pPr>
      <w:r>
        <w:rPr>
          <w:rFonts w:hint="eastAsia"/>
          <w:szCs w:val="32"/>
        </w:rPr>
        <w:t xml:space="preserve">3.操作规范要求 </w:t>
      </w:r>
    </w:p>
    <w:p>
      <w:pPr>
        <w:tabs>
          <w:tab w:val="left" w:pos="451"/>
        </w:tabs>
        <w:ind w:firstLine="480"/>
        <w:rPr>
          <w:szCs w:val="32"/>
        </w:rPr>
      </w:pPr>
      <w:r>
        <w:rPr>
          <w:rFonts w:hint="eastAsia"/>
          <w:szCs w:val="32"/>
        </w:rPr>
        <w:t>（1）用螺栓固定的隔爆结合面缺螺栓、弹簧垫圈或螺母等为失爆现象。</w:t>
      </w:r>
    </w:p>
    <w:p>
      <w:pPr>
        <w:tabs>
          <w:tab w:val="left" w:pos="451"/>
        </w:tabs>
        <w:ind w:firstLine="480"/>
        <w:rPr>
          <w:szCs w:val="32"/>
        </w:rPr>
      </w:pPr>
      <w:r>
        <w:rPr>
          <w:rFonts w:hint="eastAsia"/>
          <w:szCs w:val="32"/>
        </w:rPr>
        <w:t>（2）电缆引出或引入装置部位密封圈老化、变形、尺寸配合间隙不合格等为失爆现象。</w:t>
      </w:r>
    </w:p>
    <w:p>
      <w:pPr>
        <w:tabs>
          <w:tab w:val="left" w:pos="451"/>
        </w:tabs>
        <w:ind w:firstLine="480"/>
        <w:rPr>
          <w:szCs w:val="32"/>
        </w:rPr>
      </w:pPr>
      <w:r>
        <w:rPr>
          <w:rFonts w:hint="eastAsia"/>
          <w:szCs w:val="32"/>
        </w:rPr>
        <w:t>（3）密封圈单孔内穿进多根电缆，线嘴压紧引入深度不足6扣等为失爆现象。</w:t>
      </w:r>
    </w:p>
    <w:p>
      <w:pPr>
        <w:tabs>
          <w:tab w:val="left" w:pos="451"/>
        </w:tabs>
        <w:ind w:firstLine="480"/>
        <w:rPr>
          <w:szCs w:val="32"/>
        </w:rPr>
      </w:pPr>
      <w:r>
        <w:rPr>
          <w:rFonts w:hint="eastAsia"/>
          <w:szCs w:val="32"/>
        </w:rPr>
        <w:t>（4）检查隔爆面有无划伤，开关内部元器件是否符合要求，有无甩保护现象，有无失爆现象。</w:t>
      </w:r>
    </w:p>
    <w:p>
      <w:pPr>
        <w:tabs>
          <w:tab w:val="left" w:pos="451"/>
        </w:tabs>
        <w:ind w:firstLine="480"/>
        <w:rPr>
          <w:szCs w:val="32"/>
        </w:rPr>
      </w:pPr>
      <w:r>
        <w:rPr>
          <w:rFonts w:hint="eastAsia"/>
          <w:szCs w:val="32"/>
        </w:rPr>
        <w:t>（5）隔爆电气设备内外壳的失爆现象包括隔爆外壳有裂纹、开焊，电气闭锁不起作用等。</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技能模块2  气动回路设计与操作</w:t>
      </w:r>
    </w:p>
    <w:p>
      <w:pPr>
        <w:ind w:firstLine="480"/>
        <w:rPr>
          <w:szCs w:val="32"/>
        </w:rPr>
      </w:pPr>
      <w:r>
        <w:rPr>
          <w:rFonts w:hint="eastAsia"/>
          <w:szCs w:val="32"/>
        </w:rPr>
        <w:t xml:space="preserve">1.知识与技能 </w:t>
      </w:r>
    </w:p>
    <w:p>
      <w:pPr>
        <w:ind w:firstLine="480"/>
        <w:rPr>
          <w:szCs w:val="32"/>
        </w:rPr>
      </w:pPr>
      <w:r>
        <w:rPr>
          <w:rFonts w:hint="eastAsia"/>
          <w:szCs w:val="32"/>
        </w:rPr>
        <w:t>（1）掌握气动回路设计原则及工作原理。</w:t>
      </w:r>
    </w:p>
    <w:p>
      <w:pPr>
        <w:ind w:firstLine="480"/>
        <w:rPr>
          <w:szCs w:val="32"/>
        </w:rPr>
      </w:pPr>
      <w:r>
        <w:rPr>
          <w:rFonts w:hint="eastAsia"/>
          <w:szCs w:val="32"/>
        </w:rPr>
        <w:t xml:space="preserve">（2）熟悉气动元件的作用。 </w:t>
      </w:r>
    </w:p>
    <w:p>
      <w:pPr>
        <w:ind w:firstLine="480"/>
        <w:rPr>
          <w:szCs w:val="32"/>
        </w:rPr>
      </w:pPr>
      <w:r>
        <w:rPr>
          <w:rFonts w:hint="eastAsia"/>
          <w:szCs w:val="32"/>
        </w:rPr>
        <w:t>（3）能正确选择气动元件。</w:t>
      </w:r>
    </w:p>
    <w:p>
      <w:pPr>
        <w:ind w:firstLine="480"/>
        <w:rPr>
          <w:szCs w:val="32"/>
        </w:rPr>
      </w:pPr>
      <w:r>
        <w:rPr>
          <w:rFonts w:hint="eastAsia"/>
          <w:szCs w:val="32"/>
        </w:rPr>
        <w:t xml:space="preserve">（4）能正确设计气动回路。 </w:t>
      </w:r>
    </w:p>
    <w:p>
      <w:pPr>
        <w:ind w:firstLine="480"/>
        <w:rPr>
          <w:szCs w:val="32"/>
        </w:rPr>
      </w:pPr>
      <w:r>
        <w:rPr>
          <w:rFonts w:hint="eastAsia"/>
          <w:szCs w:val="32"/>
        </w:rPr>
        <w:t>（5）能正确拆装气动元件。</w:t>
      </w:r>
    </w:p>
    <w:p>
      <w:pPr>
        <w:ind w:firstLine="480"/>
        <w:rPr>
          <w:szCs w:val="32"/>
        </w:rPr>
      </w:pPr>
      <w:r>
        <w:rPr>
          <w:rFonts w:hint="eastAsia"/>
          <w:szCs w:val="32"/>
        </w:rPr>
        <w:t>（6）能处理气动系统的故障。</w:t>
      </w:r>
    </w:p>
    <w:p>
      <w:pPr>
        <w:ind w:firstLine="480"/>
        <w:rPr>
          <w:szCs w:val="32"/>
        </w:rPr>
      </w:pPr>
      <w:r>
        <w:rPr>
          <w:rFonts w:hint="eastAsia"/>
          <w:szCs w:val="32"/>
        </w:rPr>
        <w:t xml:space="preserve">2.设备与材料 </w:t>
      </w:r>
    </w:p>
    <w:p>
      <w:pPr>
        <w:ind w:firstLine="480"/>
        <w:rPr>
          <w:szCs w:val="32"/>
        </w:rPr>
      </w:pPr>
      <w:r>
        <w:rPr>
          <w:rFonts w:hint="eastAsia"/>
          <w:szCs w:val="32"/>
        </w:rPr>
        <w:t>（1）空压机1台。</w:t>
      </w:r>
    </w:p>
    <w:p>
      <w:pPr>
        <w:ind w:firstLine="480"/>
        <w:rPr>
          <w:szCs w:val="32"/>
        </w:rPr>
      </w:pPr>
      <w:r>
        <w:rPr>
          <w:rFonts w:hint="eastAsia"/>
          <w:szCs w:val="32"/>
        </w:rPr>
        <w:t>（2）各种气缸各2台。</w:t>
      </w:r>
    </w:p>
    <w:p>
      <w:pPr>
        <w:ind w:firstLine="480"/>
        <w:rPr>
          <w:szCs w:val="32"/>
        </w:rPr>
      </w:pPr>
      <w:r>
        <w:rPr>
          <w:rFonts w:hint="eastAsia"/>
          <w:szCs w:val="32"/>
        </w:rPr>
        <w:t>（3）各种阀各2个。</w:t>
      </w:r>
    </w:p>
    <w:p>
      <w:pPr>
        <w:ind w:firstLine="480"/>
        <w:rPr>
          <w:szCs w:val="32"/>
        </w:rPr>
      </w:pPr>
      <w:r>
        <w:rPr>
          <w:rFonts w:hint="eastAsia"/>
          <w:szCs w:val="32"/>
        </w:rPr>
        <w:t xml:space="preserve">（4）管线若干条。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（1）安全用电、注意防火、防止出现人身伤害及设备事故。 </w:t>
      </w:r>
    </w:p>
    <w:p>
      <w:pPr>
        <w:ind w:firstLine="480"/>
        <w:rPr>
          <w:szCs w:val="32"/>
        </w:rPr>
      </w:pPr>
      <w:r>
        <w:rPr>
          <w:rFonts w:hint="eastAsia"/>
          <w:szCs w:val="32"/>
        </w:rPr>
        <w:t>（2）遵守气动系统安全操作规程。</w:t>
      </w:r>
    </w:p>
    <w:p>
      <w:pPr>
        <w:ind w:firstLine="480"/>
        <w:rPr>
          <w:szCs w:val="32"/>
        </w:rPr>
      </w:pPr>
      <w:r>
        <w:rPr>
          <w:rFonts w:hint="eastAsia"/>
          <w:szCs w:val="32"/>
        </w:rPr>
        <w:t xml:space="preserve">（3）正确穿着佩戴个人防护用品，包括工作服、工作鞋等。 </w:t>
      </w:r>
    </w:p>
    <w:p>
      <w:pPr>
        <w:ind w:firstLine="480"/>
        <w:rPr>
          <w:szCs w:val="32"/>
        </w:rPr>
      </w:pPr>
      <w:r>
        <w:rPr>
          <w:rFonts w:hint="eastAsia"/>
          <w:szCs w:val="32"/>
        </w:rPr>
        <w:t xml:space="preserve">（4）元件安装、接线布置规整。 </w:t>
      </w:r>
    </w:p>
    <w:p>
      <w:pPr>
        <w:ind w:firstLine="480"/>
        <w:rPr>
          <w:szCs w:val="32"/>
        </w:rPr>
      </w:pPr>
      <w:r>
        <w:rPr>
          <w:rFonts w:hint="eastAsia"/>
          <w:szCs w:val="32"/>
        </w:rPr>
        <w:t>（5）操作过程规范。</w:t>
      </w:r>
    </w:p>
    <w:p>
      <w:pPr>
        <w:ind w:firstLine="480"/>
        <w:rPr>
          <w:szCs w:val="32"/>
        </w:rPr>
      </w:pPr>
      <w:r>
        <w:rPr>
          <w:rFonts w:hint="eastAsia"/>
          <w:szCs w:val="32"/>
        </w:rPr>
        <w:t>（6）规范、熟练拆装气动元件和管线，并放置整齐。</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技能模块3  液压油泵拆装</w:t>
      </w:r>
    </w:p>
    <w:p>
      <w:pPr>
        <w:ind w:firstLine="480"/>
        <w:rPr>
          <w:szCs w:val="32"/>
        </w:rPr>
      </w:pPr>
      <w:r>
        <w:rPr>
          <w:rFonts w:hint="eastAsia"/>
          <w:szCs w:val="32"/>
        </w:rPr>
        <w:t>1.知识与技能</w:t>
      </w:r>
    </w:p>
    <w:p>
      <w:pPr>
        <w:ind w:firstLine="480"/>
        <w:rPr>
          <w:szCs w:val="32"/>
        </w:rPr>
      </w:pPr>
      <w:r>
        <w:rPr>
          <w:rFonts w:hint="eastAsia"/>
          <w:szCs w:val="32"/>
        </w:rPr>
        <w:t>（1）掌握液压油泵的功能、结构、工作原理。</w:t>
      </w:r>
    </w:p>
    <w:p>
      <w:pPr>
        <w:ind w:firstLine="480"/>
        <w:rPr>
          <w:szCs w:val="32"/>
        </w:rPr>
      </w:pPr>
      <w:r>
        <w:rPr>
          <w:rFonts w:hint="eastAsia"/>
          <w:szCs w:val="32"/>
        </w:rPr>
        <w:t>（2）能正确、熟练使用拆装工具。</w:t>
      </w:r>
    </w:p>
    <w:p>
      <w:pPr>
        <w:ind w:firstLine="480"/>
        <w:rPr>
          <w:szCs w:val="32"/>
        </w:rPr>
      </w:pPr>
      <w:r>
        <w:rPr>
          <w:rFonts w:hint="eastAsia"/>
          <w:szCs w:val="32"/>
        </w:rPr>
        <w:t>（3）能正确拆装液压油泵。</w:t>
      </w:r>
    </w:p>
    <w:p>
      <w:pPr>
        <w:ind w:firstLine="480"/>
        <w:rPr>
          <w:szCs w:val="32"/>
        </w:rPr>
      </w:pPr>
      <w:r>
        <w:rPr>
          <w:rFonts w:hint="eastAsia"/>
          <w:szCs w:val="32"/>
        </w:rPr>
        <w:t>（4）能正确说出各零件名称。</w:t>
      </w:r>
    </w:p>
    <w:p>
      <w:pPr>
        <w:ind w:firstLine="480"/>
        <w:rPr>
          <w:szCs w:val="32"/>
        </w:rPr>
      </w:pPr>
      <w:r>
        <w:rPr>
          <w:rFonts w:hint="eastAsia"/>
          <w:szCs w:val="32"/>
        </w:rPr>
        <w:t xml:space="preserve">2.设备与材料 </w:t>
      </w:r>
    </w:p>
    <w:p>
      <w:pPr>
        <w:ind w:firstLine="480"/>
        <w:rPr>
          <w:szCs w:val="32"/>
        </w:rPr>
      </w:pPr>
      <w:r>
        <w:rPr>
          <w:rFonts w:hint="eastAsia"/>
          <w:szCs w:val="32"/>
        </w:rPr>
        <w:t>（1）液压油泵一台。</w:t>
      </w:r>
    </w:p>
    <w:p>
      <w:pPr>
        <w:ind w:firstLine="480"/>
        <w:rPr>
          <w:szCs w:val="32"/>
        </w:rPr>
      </w:pPr>
      <w:r>
        <w:rPr>
          <w:rFonts w:hint="eastAsia"/>
          <w:szCs w:val="32"/>
        </w:rPr>
        <w:t>（2）拆装工具一套。</w:t>
      </w:r>
    </w:p>
    <w:p>
      <w:pPr>
        <w:ind w:firstLine="480"/>
        <w:rPr>
          <w:szCs w:val="32"/>
        </w:rPr>
      </w:pPr>
      <w:r>
        <w:rPr>
          <w:rFonts w:hint="eastAsia"/>
          <w:szCs w:val="32"/>
        </w:rPr>
        <w:t xml:space="preserve">（3）吸油纸、棉纱、手套、记号笔等。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（1）遵守液压油泵安全操作规程，防止出现人身伤害及设备事故。 </w:t>
      </w:r>
    </w:p>
    <w:p>
      <w:pPr>
        <w:ind w:firstLine="480"/>
        <w:rPr>
          <w:szCs w:val="32"/>
        </w:rPr>
      </w:pPr>
      <w:r>
        <w:rPr>
          <w:rFonts w:hint="eastAsia"/>
          <w:szCs w:val="32"/>
        </w:rPr>
        <w:t xml:space="preserve">（2）正确穿着佩戴个人防护用品，包括工作服、工作鞋、各类手套等。 </w:t>
      </w:r>
    </w:p>
    <w:p>
      <w:pPr>
        <w:ind w:firstLine="480"/>
        <w:rPr>
          <w:szCs w:val="32"/>
        </w:rPr>
      </w:pPr>
      <w:r>
        <w:rPr>
          <w:rFonts w:hint="eastAsia"/>
          <w:szCs w:val="32"/>
        </w:rPr>
        <w:t xml:space="preserve">（3）拆装过程规范。 </w:t>
      </w:r>
    </w:p>
    <w:p>
      <w:pPr>
        <w:ind w:firstLine="480"/>
        <w:rPr>
          <w:szCs w:val="32"/>
        </w:rPr>
      </w:pPr>
      <w:r>
        <w:rPr>
          <w:rFonts w:hint="eastAsia"/>
          <w:szCs w:val="32"/>
        </w:rPr>
        <w:t>（4）零件安放有序。</w:t>
      </w:r>
    </w:p>
    <w:p>
      <w:pPr>
        <w:ind w:firstLine="480"/>
        <w:rPr>
          <w:szCs w:val="32"/>
        </w:rPr>
      </w:pPr>
      <w:r>
        <w:rPr>
          <w:rFonts w:hint="eastAsia"/>
          <w:szCs w:val="32"/>
        </w:rPr>
        <w:t>（5）安装完毕后应保持设备与工量具的清洁，保证工作场地整洁有序。</w:t>
      </w:r>
    </w:p>
    <w:p>
      <w:pPr>
        <w:tabs>
          <w:tab w:val="left" w:pos="451"/>
        </w:tabs>
        <w:ind w:firstLine="482"/>
        <w:rPr>
          <w:rFonts w:ascii="宋体" w:hAnsi="宋体" w:eastAsia="宋体" w:cs="宋体"/>
          <w:b/>
          <w:bCs/>
          <w:szCs w:val="32"/>
        </w:rPr>
      </w:pPr>
      <w:r>
        <w:rPr>
          <w:rFonts w:hint="eastAsia" w:ascii="宋体" w:hAnsi="宋体" w:eastAsia="宋体" w:cs="宋体"/>
          <w:b/>
          <w:bCs/>
          <w:szCs w:val="32"/>
        </w:rPr>
        <w:t xml:space="preserve">技能模块4  万用表的使用 </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1.知识与技能</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（1）了解万用表的用途和分类。</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（2）掌握万用表的特点和性能要求。</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（3）能正确选择万用表的测量量程；</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（4）能正确对万用表进行调零校验。</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（5）能使用万用表正确测量电阻元件的电阻值；</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（6）能使用万用表测量电路中元器件的端电压值；</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（7）能使用万用对低压电器进行检测；</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 xml:space="preserve">（8）能根据考试要求，规范填写相关内容。  </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 xml:space="preserve">2.设备与材料 </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（1）万用表、电阻器、简单电路、低压电器；</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 xml:space="preserve">（2）笔、纸、手套。 </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 xml:space="preserve">3.操作规范要求 </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 xml:space="preserve">（1）遵守安全操作规范和文明生产要求，安全用电、注意防火、防止出现人身伤害及设备事故。 </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（2）正确穿着佩戴个人防护用品，设备、零件、工量具、物品等摆放整齐。</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（3）操作过程中应保持设备与工量具的清洁，保证工作场地整洁有序。</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（4）正确处置操作中出现的废弃物，文明操作，爱护设备及工器具。</w:t>
      </w:r>
    </w:p>
    <w:p>
      <w:pPr>
        <w:tabs>
          <w:tab w:val="left" w:pos="451"/>
        </w:tabs>
        <w:ind w:firstLine="482"/>
        <w:rPr>
          <w:rFonts w:asciiTheme="minorEastAsia" w:hAnsiTheme="minorEastAsia" w:cstheme="minorEastAsia"/>
          <w:b/>
          <w:bCs/>
          <w:szCs w:val="32"/>
        </w:rPr>
      </w:pPr>
      <w:r>
        <w:rPr>
          <w:rFonts w:hint="eastAsia" w:asciiTheme="minorEastAsia" w:hAnsiTheme="minorEastAsia" w:cstheme="minorEastAsia"/>
          <w:b/>
          <w:bCs/>
          <w:szCs w:val="32"/>
        </w:rPr>
        <w:t>技能模块5  电动机连续正转控制线路的安装与调试</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1.知识与技能</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（1）掌握电动机连续正转控制线路的组成及其工作原理。</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（2）掌握电动机连续正转控制线路安装的步骤和工艺要求。</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（3）能正确识读电动机连续正转控制线路图。</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（4）能根据控制线路图，正确选择所需低压电器。</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（5）能正确安装与调试连续正转控制线路。</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（6）能使用万用表对控制线路进行故障诊断与处理。</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 xml:space="preserve">（7）能根据考试要求，规范填写相关内容。 </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 xml:space="preserve">2.设备与材料 </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（1）三相异步电动机、香蕉插头导线若干，电动机控制实训挂箱。</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（2）万用表熔断器、手套、记号笔、棉纱等。</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 xml:space="preserve">3.操作规范要求 </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 xml:space="preserve">（1）遵守安全操作规范和文明生产要求，安全用电、注意防火、防止出现人身伤害及设备事故。 </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（2）正确穿着佩戴个人防护用品，设备、零件、工量具、物品等摆放整齐。</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（3）操作过程中应保持设备与工量具的清洁，保证工作场地整洁有序。</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（4）正确处置操作中出现的废弃物，文明操作，爱护设备及工器具。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技能模块6  安全停送电操作的安全操作</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1.知识与技能</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（1）掌握供电方式。</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（2）了解真空开关的工作原理及作用。</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（3）掌握正确的设备停电顺序。</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（4）正确填写操作票，进行模拟操作。</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 xml:space="preserve">2.设备与材料 </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（1）验电笔（器），携带式接地线。</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（2）绝缘手套，绝缘鞋。</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 xml:space="preserve">3.操作规范要求 </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 xml:space="preserve">（1）遵守安全操作规范和文明生产要求，注意防火、防止出现人身伤害及设备事故。 </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（2）核对操作票。</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（3）正确穿着佩戴个人防护用品，安全操作用具使用前检查。</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（4）核对停送电设备名称，防止走错间隔，造成错误操作。</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（5）操作过程中应保持与带电设备的安全距离。</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（6）先将真空开关设备停电，停电后进行验电，确认无电后挂接地线，接地线先挂接地端后挂导体端。</w:t>
      </w:r>
    </w:p>
    <w:p>
      <w:pPr>
        <w:tabs>
          <w:tab w:val="left" w:pos="451"/>
        </w:tabs>
        <w:ind w:firstLine="480"/>
        <w:rPr>
          <w:rFonts w:asciiTheme="minorEastAsia" w:hAnsiTheme="minorEastAsia" w:cstheme="minorEastAsia"/>
          <w:szCs w:val="32"/>
        </w:rPr>
      </w:pPr>
      <w:r>
        <w:rPr>
          <w:rFonts w:hint="eastAsia" w:asciiTheme="minorEastAsia" w:hAnsiTheme="minorEastAsia" w:cstheme="minorEastAsia"/>
          <w:szCs w:val="32"/>
        </w:rPr>
        <w:t>（7）送电时顺序相反。</w:t>
      </w:r>
    </w:p>
    <w:p>
      <w:pPr>
        <w:tabs>
          <w:tab w:val="left" w:pos="451"/>
        </w:tabs>
        <w:ind w:firstLine="482"/>
        <w:rPr>
          <w:rFonts w:asciiTheme="minorEastAsia" w:hAnsiTheme="minorEastAsia" w:cstheme="minorEastAsia"/>
          <w:b/>
          <w:bCs/>
          <w:szCs w:val="32"/>
        </w:rPr>
      </w:pPr>
      <w:r>
        <w:rPr>
          <w:rFonts w:hint="eastAsia" w:asciiTheme="minorEastAsia" w:hAnsiTheme="minorEastAsia" w:cstheme="minorEastAsia"/>
          <w:b/>
          <w:bCs/>
          <w:szCs w:val="32"/>
        </w:rPr>
        <w:t>四、考核项目及权重</w:t>
      </w:r>
    </w:p>
    <w:p>
      <w:pPr>
        <w:ind w:firstLine="480"/>
        <w:rPr>
          <w:rFonts w:ascii="黑体" w:hAnsi="黑体" w:eastAsia="黑体" w:cs="黑体"/>
          <w:szCs w:val="32"/>
        </w:rPr>
      </w:pPr>
      <w:r>
        <w:rPr>
          <w:rFonts w:hint="eastAsia"/>
          <w:szCs w:val="32"/>
        </w:rPr>
        <w:t>结合考试范围给定2024年考核项目及权重，如表2所示。</w:t>
      </w:r>
    </w:p>
    <w:p>
      <w:pPr>
        <w:ind w:firstLine="480"/>
        <w:jc w:val="center"/>
        <w:rPr>
          <w:rFonts w:ascii="黑体" w:hAnsi="黑体" w:eastAsia="黑体" w:cs="黑体"/>
          <w:szCs w:val="32"/>
        </w:rPr>
      </w:pPr>
    </w:p>
    <w:p>
      <w:pPr>
        <w:ind w:firstLine="480"/>
        <w:jc w:val="center"/>
        <w:rPr>
          <w:szCs w:val="32"/>
        </w:rPr>
      </w:pPr>
      <w:r>
        <w:rPr>
          <w:rFonts w:hint="eastAsia" w:ascii="黑体" w:hAnsi="黑体" w:eastAsia="黑体" w:cs="黑体"/>
          <w:szCs w:val="32"/>
        </w:rPr>
        <w:t>表2  2024年考核项目及权重</w:t>
      </w:r>
    </w:p>
    <w:tbl>
      <w:tblPr>
        <w:tblStyle w:val="7"/>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7"/>
        <w:gridCol w:w="1104"/>
        <w:gridCol w:w="2955"/>
        <w:gridCol w:w="615"/>
        <w:gridCol w:w="660"/>
        <w:gridCol w:w="2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jc w:val="center"/>
        </w:trPr>
        <w:tc>
          <w:tcPr>
            <w:tcW w:w="1227"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考核项目</w:t>
            </w:r>
          </w:p>
        </w:tc>
        <w:tc>
          <w:tcPr>
            <w:tcW w:w="1104"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考核时间</w:t>
            </w:r>
          </w:p>
        </w:tc>
        <w:tc>
          <w:tcPr>
            <w:tcW w:w="2955"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考核内容</w:t>
            </w:r>
          </w:p>
        </w:tc>
        <w:tc>
          <w:tcPr>
            <w:tcW w:w="1275" w:type="dxa"/>
            <w:gridSpan w:val="2"/>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权重</w:t>
            </w:r>
          </w:p>
        </w:tc>
        <w:tc>
          <w:tcPr>
            <w:tcW w:w="2510"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tabs>
                <w:tab w:val="left" w:pos="451"/>
              </w:tabs>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1.电器设备失爆安全检查操作</w:t>
            </w:r>
          </w:p>
          <w:p>
            <w:pPr>
              <w:spacing w:line="360" w:lineRule="exact"/>
              <w:ind w:firstLine="0" w:firstLineChars="0"/>
              <w:jc w:val="center"/>
              <w:rPr>
                <w:rFonts w:asciiTheme="minorEastAsia" w:hAnsiTheme="minorEastAsia" w:cstheme="minorEastAsia"/>
                <w:sz w:val="21"/>
                <w:szCs w:val="21"/>
              </w:rPr>
            </w:pPr>
          </w:p>
        </w:tc>
        <w:tc>
          <w:tcPr>
            <w:tcW w:w="1104" w:type="dxa"/>
            <w:vMerge w:val="restart"/>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15min</w:t>
            </w:r>
          </w:p>
        </w:tc>
        <w:tc>
          <w:tcPr>
            <w:tcW w:w="2955" w:type="dxa"/>
            <w:noWrap/>
            <w:vAlign w:val="center"/>
          </w:tcPr>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1.穿戴个人防护用品</w:t>
            </w:r>
          </w:p>
        </w:tc>
        <w:tc>
          <w:tcPr>
            <w:tcW w:w="615" w:type="dxa"/>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20</w:t>
            </w:r>
          </w:p>
        </w:tc>
        <w:tc>
          <w:tcPr>
            <w:tcW w:w="660" w:type="dxa"/>
            <w:vMerge w:val="restart"/>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200</w:t>
            </w:r>
          </w:p>
        </w:tc>
        <w:tc>
          <w:tcPr>
            <w:tcW w:w="2510" w:type="dxa"/>
            <w:vMerge w:val="restart"/>
            <w:noWrap/>
            <w:vAlign w:val="center"/>
          </w:tcPr>
          <w:p>
            <w:pPr>
              <w:ind w:firstLine="0" w:firstLineChars="0"/>
              <w:jc w:val="left"/>
              <w:rPr>
                <w:rFonts w:ascii="宋体" w:hAnsi="宋体" w:eastAsia="宋体" w:cs="宋体"/>
                <w:sz w:val="21"/>
                <w:szCs w:val="21"/>
              </w:rPr>
            </w:pPr>
            <w:r>
              <w:rPr>
                <w:rFonts w:hint="eastAsia" w:ascii="宋体" w:hAnsi="宋体" w:eastAsia="宋体" w:cs="宋体"/>
                <w:sz w:val="21"/>
                <w:szCs w:val="21"/>
              </w:rPr>
              <w:t>1.验电笔，携带式接地线</w:t>
            </w:r>
          </w:p>
          <w:p>
            <w:pPr>
              <w:ind w:firstLine="0" w:firstLineChars="0"/>
              <w:jc w:val="left"/>
              <w:rPr>
                <w:rFonts w:ascii="宋体" w:hAnsi="宋体" w:eastAsia="宋体" w:cs="宋体"/>
                <w:sz w:val="21"/>
                <w:szCs w:val="21"/>
              </w:rPr>
            </w:pPr>
            <w:r>
              <w:rPr>
                <w:rFonts w:hint="eastAsia" w:ascii="宋体" w:hAnsi="宋体" w:eastAsia="宋体" w:cs="宋体"/>
                <w:sz w:val="21"/>
                <w:szCs w:val="21"/>
              </w:rPr>
              <w:t>2.拆卸工具</w:t>
            </w:r>
          </w:p>
          <w:p>
            <w:pPr>
              <w:ind w:firstLine="0" w:firstLineChars="0"/>
              <w:jc w:val="left"/>
              <w:rPr>
                <w:rFonts w:ascii="宋体" w:hAnsi="宋体" w:eastAsia="宋体" w:cs="宋体"/>
                <w:sz w:val="21"/>
                <w:szCs w:val="21"/>
              </w:rPr>
            </w:pPr>
            <w:r>
              <w:rPr>
                <w:rFonts w:hint="eastAsia" w:ascii="宋体" w:hAnsi="宋体" w:eastAsia="宋体" w:cs="宋体"/>
                <w:sz w:val="21"/>
                <w:szCs w:val="21"/>
              </w:rPr>
              <w:t>3.塞尺</w:t>
            </w:r>
          </w:p>
          <w:p>
            <w:pPr>
              <w:ind w:firstLine="0" w:firstLineChars="0"/>
              <w:rPr>
                <w:rFonts w:asciiTheme="minorEastAsia" w:hAnsiTheme="minorEastAsia" w:cstheme="minorEastAsia"/>
                <w:sz w:val="21"/>
                <w:szCs w:val="21"/>
              </w:rPr>
            </w:pPr>
            <w:r>
              <w:rPr>
                <w:rFonts w:hint="eastAsia" w:ascii="宋体" w:hAnsi="宋体" w:eastAsia="宋体" w:cs="宋体"/>
                <w:sz w:val="21"/>
                <w:szCs w:val="21"/>
              </w:rPr>
              <w:t>4.个人防护用具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1104"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955" w:type="dxa"/>
            <w:noWrap/>
            <w:vAlign w:val="center"/>
          </w:tcPr>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2.设备停电前安全检查和隐患排除</w:t>
            </w:r>
          </w:p>
        </w:tc>
        <w:tc>
          <w:tcPr>
            <w:tcW w:w="615" w:type="dxa"/>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20</w:t>
            </w:r>
          </w:p>
        </w:tc>
        <w:tc>
          <w:tcPr>
            <w:tcW w:w="660"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510"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1227"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1104"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955" w:type="dxa"/>
            <w:noWrap/>
            <w:vAlign w:val="center"/>
          </w:tcPr>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3.失爆现象检查</w:t>
            </w:r>
          </w:p>
        </w:tc>
        <w:tc>
          <w:tcPr>
            <w:tcW w:w="615" w:type="dxa"/>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100</w:t>
            </w:r>
          </w:p>
        </w:tc>
        <w:tc>
          <w:tcPr>
            <w:tcW w:w="660"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510"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1104"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955" w:type="dxa"/>
            <w:noWrap/>
            <w:vAlign w:val="center"/>
          </w:tcPr>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4.检查后设备安装复位</w:t>
            </w:r>
          </w:p>
        </w:tc>
        <w:tc>
          <w:tcPr>
            <w:tcW w:w="615" w:type="dxa"/>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30</w:t>
            </w:r>
          </w:p>
        </w:tc>
        <w:tc>
          <w:tcPr>
            <w:tcW w:w="660"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510"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1104"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955" w:type="dxa"/>
            <w:noWrap/>
            <w:vAlign w:val="center"/>
          </w:tcPr>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5.设备送电前安全检查</w:t>
            </w:r>
          </w:p>
        </w:tc>
        <w:tc>
          <w:tcPr>
            <w:tcW w:w="615" w:type="dxa"/>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30</w:t>
            </w:r>
          </w:p>
        </w:tc>
        <w:tc>
          <w:tcPr>
            <w:tcW w:w="660"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510" w:type="dxa"/>
            <w:vMerge w:val="continue"/>
            <w:noWrap/>
            <w:vAlign w:val="center"/>
          </w:tcPr>
          <w:p>
            <w:pPr>
              <w:spacing w:line="360" w:lineRule="exact"/>
              <w:ind w:firstLine="0" w:firstLineChars="0"/>
              <w:jc w:val="left"/>
              <w:rPr>
                <w:rFonts w:asciiTheme="minorEastAsia" w:hAnsi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2.气动回路设计与操作</w:t>
            </w:r>
          </w:p>
        </w:tc>
        <w:tc>
          <w:tcPr>
            <w:tcW w:w="1104" w:type="dxa"/>
            <w:vMerge w:val="restart"/>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15min</w:t>
            </w:r>
          </w:p>
        </w:tc>
        <w:tc>
          <w:tcPr>
            <w:tcW w:w="2955" w:type="dxa"/>
            <w:noWrap/>
            <w:vAlign w:val="center"/>
          </w:tcPr>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1.操作前安全检查</w:t>
            </w:r>
          </w:p>
        </w:tc>
        <w:tc>
          <w:tcPr>
            <w:tcW w:w="615" w:type="dxa"/>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10</w:t>
            </w:r>
          </w:p>
        </w:tc>
        <w:tc>
          <w:tcPr>
            <w:tcW w:w="660" w:type="dxa"/>
            <w:vMerge w:val="restart"/>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200</w:t>
            </w:r>
          </w:p>
        </w:tc>
        <w:tc>
          <w:tcPr>
            <w:tcW w:w="2510" w:type="dxa"/>
            <w:vMerge w:val="restart"/>
            <w:noWrap/>
            <w:vAlign w:val="center"/>
          </w:tcPr>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1.空压机1台。</w:t>
            </w:r>
          </w:p>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2.各种气缸各2台。</w:t>
            </w:r>
          </w:p>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3.各种阀各2个。</w:t>
            </w:r>
          </w:p>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 xml:space="preserve">4.管线若干条。 </w:t>
            </w:r>
          </w:p>
          <w:p>
            <w:pPr>
              <w:spacing w:line="360" w:lineRule="exact"/>
              <w:ind w:firstLine="0" w:firstLineChars="0"/>
              <w:jc w:val="left"/>
              <w:rPr>
                <w:rFonts w:asciiTheme="minorEastAsia" w:hAnsi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1104"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955" w:type="dxa"/>
            <w:noWrap/>
            <w:vAlign w:val="center"/>
          </w:tcPr>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2.正确选择元件</w:t>
            </w:r>
          </w:p>
        </w:tc>
        <w:tc>
          <w:tcPr>
            <w:tcW w:w="615" w:type="dxa"/>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20</w:t>
            </w:r>
          </w:p>
        </w:tc>
        <w:tc>
          <w:tcPr>
            <w:tcW w:w="660"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510" w:type="dxa"/>
            <w:vMerge w:val="continue"/>
            <w:noWrap/>
            <w:vAlign w:val="center"/>
          </w:tcPr>
          <w:p>
            <w:pPr>
              <w:spacing w:line="360" w:lineRule="exact"/>
              <w:ind w:firstLine="0" w:firstLineChars="0"/>
              <w:jc w:val="left"/>
              <w:rPr>
                <w:rFonts w:asciiTheme="minorEastAsia" w:hAnsi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1104"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955" w:type="dxa"/>
            <w:noWrap/>
            <w:vAlign w:val="center"/>
          </w:tcPr>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3.气路设计</w:t>
            </w:r>
          </w:p>
        </w:tc>
        <w:tc>
          <w:tcPr>
            <w:tcW w:w="615" w:type="dxa"/>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40</w:t>
            </w:r>
          </w:p>
        </w:tc>
        <w:tc>
          <w:tcPr>
            <w:tcW w:w="660"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510" w:type="dxa"/>
            <w:vMerge w:val="continue"/>
            <w:noWrap/>
            <w:vAlign w:val="center"/>
          </w:tcPr>
          <w:p>
            <w:pPr>
              <w:spacing w:line="360" w:lineRule="exact"/>
              <w:ind w:firstLine="0" w:firstLineChars="0"/>
              <w:jc w:val="left"/>
              <w:rPr>
                <w:rFonts w:asciiTheme="minorEastAsia" w:hAnsi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1104"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955" w:type="dxa"/>
            <w:noWrap/>
            <w:vAlign w:val="center"/>
          </w:tcPr>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4.气路连接</w:t>
            </w:r>
          </w:p>
        </w:tc>
        <w:tc>
          <w:tcPr>
            <w:tcW w:w="615" w:type="dxa"/>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40</w:t>
            </w:r>
          </w:p>
        </w:tc>
        <w:tc>
          <w:tcPr>
            <w:tcW w:w="660"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510" w:type="dxa"/>
            <w:vMerge w:val="continue"/>
            <w:noWrap/>
            <w:vAlign w:val="center"/>
          </w:tcPr>
          <w:p>
            <w:pPr>
              <w:spacing w:line="360" w:lineRule="exact"/>
              <w:ind w:firstLine="0" w:firstLineChars="0"/>
              <w:jc w:val="left"/>
              <w:rPr>
                <w:rFonts w:asciiTheme="minorEastAsia" w:hAnsi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1104"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955" w:type="dxa"/>
            <w:noWrap/>
            <w:vAlign w:val="center"/>
          </w:tcPr>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5.气路操作</w:t>
            </w:r>
          </w:p>
        </w:tc>
        <w:tc>
          <w:tcPr>
            <w:tcW w:w="615" w:type="dxa"/>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40</w:t>
            </w:r>
          </w:p>
        </w:tc>
        <w:tc>
          <w:tcPr>
            <w:tcW w:w="660"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510" w:type="dxa"/>
            <w:vMerge w:val="continue"/>
            <w:noWrap/>
            <w:vAlign w:val="center"/>
          </w:tcPr>
          <w:p>
            <w:pPr>
              <w:spacing w:line="360" w:lineRule="exact"/>
              <w:ind w:firstLine="0" w:firstLineChars="0"/>
              <w:jc w:val="left"/>
              <w:rPr>
                <w:rFonts w:asciiTheme="minorEastAsia" w:hAnsi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1104"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955" w:type="dxa"/>
            <w:noWrap/>
            <w:vAlign w:val="center"/>
          </w:tcPr>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6.回路问题（2个）</w:t>
            </w:r>
          </w:p>
        </w:tc>
        <w:tc>
          <w:tcPr>
            <w:tcW w:w="615" w:type="dxa"/>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20</w:t>
            </w:r>
          </w:p>
        </w:tc>
        <w:tc>
          <w:tcPr>
            <w:tcW w:w="660"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510" w:type="dxa"/>
            <w:vMerge w:val="continue"/>
            <w:noWrap/>
            <w:vAlign w:val="center"/>
          </w:tcPr>
          <w:p>
            <w:pPr>
              <w:spacing w:line="360" w:lineRule="exact"/>
              <w:ind w:firstLine="0" w:firstLineChars="0"/>
              <w:jc w:val="left"/>
              <w:rPr>
                <w:rFonts w:asciiTheme="minorEastAsia" w:hAnsi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1104"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955" w:type="dxa"/>
            <w:noWrap/>
            <w:vAlign w:val="center"/>
          </w:tcPr>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7.元件归位</w:t>
            </w:r>
          </w:p>
        </w:tc>
        <w:tc>
          <w:tcPr>
            <w:tcW w:w="615" w:type="dxa"/>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20</w:t>
            </w:r>
          </w:p>
        </w:tc>
        <w:tc>
          <w:tcPr>
            <w:tcW w:w="660"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510" w:type="dxa"/>
            <w:vMerge w:val="continue"/>
            <w:noWrap/>
            <w:vAlign w:val="center"/>
          </w:tcPr>
          <w:p>
            <w:pPr>
              <w:spacing w:line="360" w:lineRule="exact"/>
              <w:ind w:firstLine="0" w:firstLineChars="0"/>
              <w:jc w:val="left"/>
              <w:rPr>
                <w:rFonts w:asciiTheme="minorEastAsia" w:hAnsi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1104"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955" w:type="dxa"/>
            <w:noWrap/>
            <w:vAlign w:val="center"/>
          </w:tcPr>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8.清理现场</w:t>
            </w:r>
          </w:p>
        </w:tc>
        <w:tc>
          <w:tcPr>
            <w:tcW w:w="615" w:type="dxa"/>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10</w:t>
            </w:r>
          </w:p>
        </w:tc>
        <w:tc>
          <w:tcPr>
            <w:tcW w:w="660"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510" w:type="dxa"/>
            <w:vMerge w:val="continue"/>
            <w:noWrap/>
            <w:vAlign w:val="center"/>
          </w:tcPr>
          <w:p>
            <w:pPr>
              <w:spacing w:line="360" w:lineRule="exact"/>
              <w:ind w:firstLine="0" w:firstLineChars="0"/>
              <w:jc w:val="left"/>
              <w:rPr>
                <w:rFonts w:asciiTheme="minorEastAsia" w:hAnsi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tabs>
                <w:tab w:val="left" w:pos="451"/>
              </w:tabs>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3.液压油泵拆装</w:t>
            </w:r>
          </w:p>
          <w:p>
            <w:pPr>
              <w:spacing w:line="360" w:lineRule="exact"/>
              <w:ind w:firstLine="0" w:firstLineChars="0"/>
              <w:jc w:val="center"/>
              <w:rPr>
                <w:rFonts w:asciiTheme="minorEastAsia" w:hAnsiTheme="minorEastAsia" w:cstheme="minorEastAsia"/>
                <w:sz w:val="21"/>
                <w:szCs w:val="21"/>
              </w:rPr>
            </w:pPr>
          </w:p>
        </w:tc>
        <w:tc>
          <w:tcPr>
            <w:tcW w:w="1104" w:type="dxa"/>
            <w:vMerge w:val="restart"/>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15min</w:t>
            </w:r>
          </w:p>
        </w:tc>
        <w:tc>
          <w:tcPr>
            <w:tcW w:w="2955" w:type="dxa"/>
            <w:noWrap/>
            <w:vAlign w:val="center"/>
          </w:tcPr>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1.清理周围环境，选择合理拆装工具</w:t>
            </w:r>
          </w:p>
        </w:tc>
        <w:tc>
          <w:tcPr>
            <w:tcW w:w="615" w:type="dxa"/>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20</w:t>
            </w:r>
          </w:p>
        </w:tc>
        <w:tc>
          <w:tcPr>
            <w:tcW w:w="660" w:type="dxa"/>
            <w:vMerge w:val="restart"/>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200</w:t>
            </w:r>
          </w:p>
        </w:tc>
        <w:tc>
          <w:tcPr>
            <w:tcW w:w="2510" w:type="dxa"/>
            <w:vMerge w:val="restart"/>
            <w:noWrap/>
            <w:vAlign w:val="center"/>
          </w:tcPr>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1.液压油泵一台。</w:t>
            </w:r>
          </w:p>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2.拆装工具一套。</w:t>
            </w:r>
          </w:p>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3.吸油纸、棉纱、手套、记号笔等。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1104"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955" w:type="dxa"/>
            <w:noWrap/>
            <w:vAlign w:val="center"/>
          </w:tcPr>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2.拆卸油泵，口述零件名称及作用</w:t>
            </w:r>
          </w:p>
        </w:tc>
        <w:tc>
          <w:tcPr>
            <w:tcW w:w="615" w:type="dxa"/>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80</w:t>
            </w:r>
          </w:p>
        </w:tc>
        <w:tc>
          <w:tcPr>
            <w:tcW w:w="660"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510" w:type="dxa"/>
            <w:vMerge w:val="continue"/>
            <w:noWrap/>
            <w:vAlign w:val="center"/>
          </w:tcPr>
          <w:p>
            <w:pPr>
              <w:spacing w:line="360" w:lineRule="exact"/>
              <w:ind w:firstLine="0" w:firstLineChars="0"/>
              <w:jc w:val="left"/>
              <w:rPr>
                <w:rFonts w:asciiTheme="minorEastAsia" w:hAnsi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1104"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955" w:type="dxa"/>
            <w:noWrap/>
            <w:vAlign w:val="center"/>
          </w:tcPr>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3.零件摆放整齐（记号）</w:t>
            </w:r>
          </w:p>
        </w:tc>
        <w:tc>
          <w:tcPr>
            <w:tcW w:w="615" w:type="dxa"/>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20</w:t>
            </w:r>
          </w:p>
        </w:tc>
        <w:tc>
          <w:tcPr>
            <w:tcW w:w="660"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510" w:type="dxa"/>
            <w:vMerge w:val="continue"/>
            <w:noWrap/>
            <w:vAlign w:val="center"/>
          </w:tcPr>
          <w:p>
            <w:pPr>
              <w:spacing w:line="360" w:lineRule="exact"/>
              <w:ind w:firstLine="0" w:firstLineChars="0"/>
              <w:jc w:val="left"/>
              <w:rPr>
                <w:rFonts w:asciiTheme="minorEastAsia" w:hAnsi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1104"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955" w:type="dxa"/>
            <w:noWrap/>
            <w:vAlign w:val="center"/>
          </w:tcPr>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4.装配油泵</w:t>
            </w:r>
          </w:p>
        </w:tc>
        <w:tc>
          <w:tcPr>
            <w:tcW w:w="615" w:type="dxa"/>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40</w:t>
            </w:r>
          </w:p>
        </w:tc>
        <w:tc>
          <w:tcPr>
            <w:tcW w:w="660"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510" w:type="dxa"/>
            <w:vMerge w:val="continue"/>
            <w:noWrap/>
            <w:vAlign w:val="center"/>
          </w:tcPr>
          <w:p>
            <w:pPr>
              <w:spacing w:line="360" w:lineRule="exact"/>
              <w:ind w:firstLine="0" w:firstLineChars="0"/>
              <w:jc w:val="left"/>
              <w:rPr>
                <w:rFonts w:asciiTheme="minorEastAsia" w:hAnsi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1104"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955" w:type="dxa"/>
            <w:noWrap/>
            <w:vAlign w:val="center"/>
          </w:tcPr>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5.清理现场卫生</w:t>
            </w:r>
          </w:p>
        </w:tc>
        <w:tc>
          <w:tcPr>
            <w:tcW w:w="615" w:type="dxa"/>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20</w:t>
            </w:r>
          </w:p>
        </w:tc>
        <w:tc>
          <w:tcPr>
            <w:tcW w:w="660"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510" w:type="dxa"/>
            <w:vMerge w:val="continue"/>
            <w:noWrap/>
            <w:vAlign w:val="center"/>
          </w:tcPr>
          <w:p>
            <w:pPr>
              <w:spacing w:line="360" w:lineRule="exact"/>
              <w:ind w:firstLine="0" w:firstLineChars="0"/>
              <w:jc w:val="left"/>
              <w:rPr>
                <w:rFonts w:asciiTheme="minorEastAsia" w:hAnsi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1104"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955" w:type="dxa"/>
            <w:noWrap/>
            <w:vAlign w:val="center"/>
          </w:tcPr>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6.设备、工具摆放整齐</w:t>
            </w:r>
          </w:p>
        </w:tc>
        <w:tc>
          <w:tcPr>
            <w:tcW w:w="615" w:type="dxa"/>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20</w:t>
            </w:r>
          </w:p>
        </w:tc>
        <w:tc>
          <w:tcPr>
            <w:tcW w:w="660"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510" w:type="dxa"/>
            <w:vMerge w:val="continue"/>
            <w:noWrap/>
            <w:vAlign w:val="center"/>
          </w:tcPr>
          <w:p>
            <w:pPr>
              <w:spacing w:line="360" w:lineRule="exact"/>
              <w:ind w:firstLine="0" w:firstLineChars="0"/>
              <w:jc w:val="left"/>
              <w:rPr>
                <w:rFonts w:asciiTheme="minorEastAsia" w:hAnsi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 xml:space="preserve">4.万用表的使用 </w:t>
            </w:r>
          </w:p>
        </w:tc>
        <w:tc>
          <w:tcPr>
            <w:tcW w:w="1104" w:type="dxa"/>
            <w:vMerge w:val="restart"/>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15min</w:t>
            </w:r>
          </w:p>
        </w:tc>
        <w:tc>
          <w:tcPr>
            <w:tcW w:w="2955" w:type="dxa"/>
            <w:noWrap/>
            <w:vAlign w:val="center"/>
          </w:tcPr>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 xml:space="preserve">1.清理周围环境，安全用电 </w:t>
            </w:r>
          </w:p>
        </w:tc>
        <w:tc>
          <w:tcPr>
            <w:tcW w:w="615" w:type="dxa"/>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20</w:t>
            </w:r>
          </w:p>
        </w:tc>
        <w:tc>
          <w:tcPr>
            <w:tcW w:w="660" w:type="dxa"/>
            <w:vMerge w:val="restart"/>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200</w:t>
            </w:r>
          </w:p>
        </w:tc>
        <w:tc>
          <w:tcPr>
            <w:tcW w:w="2510" w:type="dxa"/>
            <w:vMerge w:val="restart"/>
            <w:noWrap/>
            <w:vAlign w:val="center"/>
          </w:tcPr>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1.万用表</w:t>
            </w:r>
          </w:p>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2.电阻器</w:t>
            </w:r>
          </w:p>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3.简单电路</w:t>
            </w:r>
          </w:p>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4.低压电器</w:t>
            </w:r>
          </w:p>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5.笔、纸、手套。</w:t>
            </w:r>
          </w:p>
          <w:p>
            <w:pPr>
              <w:spacing w:line="360" w:lineRule="exact"/>
              <w:ind w:firstLine="0" w:firstLineChars="0"/>
              <w:jc w:val="left"/>
              <w:rPr>
                <w:rFonts w:asciiTheme="minorEastAsia" w:hAnsi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1104"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955" w:type="dxa"/>
            <w:noWrap/>
            <w:vAlign w:val="center"/>
          </w:tcPr>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2.对万用表进行调零校验</w:t>
            </w:r>
          </w:p>
        </w:tc>
        <w:tc>
          <w:tcPr>
            <w:tcW w:w="615" w:type="dxa"/>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20</w:t>
            </w:r>
          </w:p>
        </w:tc>
        <w:tc>
          <w:tcPr>
            <w:tcW w:w="660"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510" w:type="dxa"/>
            <w:vMerge w:val="continue"/>
            <w:noWrap/>
            <w:vAlign w:val="center"/>
          </w:tcPr>
          <w:p>
            <w:pPr>
              <w:spacing w:line="360" w:lineRule="exact"/>
              <w:ind w:firstLine="0" w:firstLineChars="0"/>
              <w:jc w:val="left"/>
              <w:rPr>
                <w:rFonts w:asciiTheme="minorEastAsia" w:hAnsi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1104"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955" w:type="dxa"/>
            <w:noWrap/>
            <w:vAlign w:val="center"/>
          </w:tcPr>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3.正确测量电阻元件的电阻值</w:t>
            </w:r>
          </w:p>
        </w:tc>
        <w:tc>
          <w:tcPr>
            <w:tcW w:w="615" w:type="dxa"/>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40</w:t>
            </w:r>
          </w:p>
        </w:tc>
        <w:tc>
          <w:tcPr>
            <w:tcW w:w="660"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510" w:type="dxa"/>
            <w:vMerge w:val="continue"/>
            <w:noWrap/>
            <w:vAlign w:val="center"/>
          </w:tcPr>
          <w:p>
            <w:pPr>
              <w:spacing w:line="360" w:lineRule="exact"/>
              <w:ind w:firstLine="0" w:firstLineChars="0"/>
              <w:jc w:val="left"/>
              <w:rPr>
                <w:rFonts w:asciiTheme="minorEastAsia" w:hAnsi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1104"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955" w:type="dxa"/>
            <w:noWrap/>
            <w:vAlign w:val="center"/>
          </w:tcPr>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4.正确测量电路中元器件的端电压值</w:t>
            </w:r>
          </w:p>
        </w:tc>
        <w:tc>
          <w:tcPr>
            <w:tcW w:w="615" w:type="dxa"/>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40</w:t>
            </w:r>
          </w:p>
        </w:tc>
        <w:tc>
          <w:tcPr>
            <w:tcW w:w="660"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510" w:type="dxa"/>
            <w:vMerge w:val="continue"/>
            <w:noWrap/>
            <w:vAlign w:val="center"/>
          </w:tcPr>
          <w:p>
            <w:pPr>
              <w:spacing w:line="360" w:lineRule="exact"/>
              <w:ind w:firstLine="0" w:firstLineChars="0"/>
              <w:jc w:val="left"/>
              <w:rPr>
                <w:rFonts w:asciiTheme="minorEastAsia" w:hAnsi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1104"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955" w:type="dxa"/>
            <w:noWrap/>
            <w:vAlign w:val="center"/>
          </w:tcPr>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5.正确使用万用表对低压电器进行检测</w:t>
            </w:r>
          </w:p>
        </w:tc>
        <w:tc>
          <w:tcPr>
            <w:tcW w:w="615" w:type="dxa"/>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40</w:t>
            </w:r>
          </w:p>
        </w:tc>
        <w:tc>
          <w:tcPr>
            <w:tcW w:w="660"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510" w:type="dxa"/>
            <w:vMerge w:val="continue"/>
            <w:noWrap/>
            <w:vAlign w:val="center"/>
          </w:tcPr>
          <w:p>
            <w:pPr>
              <w:spacing w:line="360" w:lineRule="exact"/>
              <w:ind w:firstLine="0" w:firstLineChars="0"/>
              <w:jc w:val="left"/>
              <w:rPr>
                <w:rFonts w:asciiTheme="minorEastAsia" w:hAnsi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1104"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955" w:type="dxa"/>
            <w:noWrap/>
            <w:vAlign w:val="center"/>
          </w:tcPr>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6.清理现场卫生</w:t>
            </w:r>
          </w:p>
        </w:tc>
        <w:tc>
          <w:tcPr>
            <w:tcW w:w="615" w:type="dxa"/>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20</w:t>
            </w:r>
          </w:p>
        </w:tc>
        <w:tc>
          <w:tcPr>
            <w:tcW w:w="660"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510" w:type="dxa"/>
            <w:vMerge w:val="continue"/>
            <w:noWrap/>
            <w:vAlign w:val="center"/>
          </w:tcPr>
          <w:p>
            <w:pPr>
              <w:spacing w:line="360" w:lineRule="exact"/>
              <w:ind w:firstLine="0" w:firstLineChars="0"/>
              <w:jc w:val="left"/>
              <w:rPr>
                <w:rFonts w:asciiTheme="minorEastAsia" w:hAnsi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1104"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955" w:type="dxa"/>
            <w:noWrap/>
            <w:vAlign w:val="center"/>
          </w:tcPr>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7.设备、工具摆放整齐</w:t>
            </w:r>
          </w:p>
        </w:tc>
        <w:tc>
          <w:tcPr>
            <w:tcW w:w="615" w:type="dxa"/>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20</w:t>
            </w:r>
          </w:p>
        </w:tc>
        <w:tc>
          <w:tcPr>
            <w:tcW w:w="660"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510" w:type="dxa"/>
            <w:vMerge w:val="continue"/>
            <w:noWrap/>
            <w:vAlign w:val="center"/>
          </w:tcPr>
          <w:p>
            <w:pPr>
              <w:spacing w:line="360" w:lineRule="exact"/>
              <w:ind w:firstLine="0" w:firstLineChars="0"/>
              <w:jc w:val="left"/>
              <w:rPr>
                <w:rFonts w:asciiTheme="minorEastAsia" w:hAnsi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tabs>
                <w:tab w:val="left" w:pos="451"/>
              </w:tabs>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5.电动机连续正转控制线路的安装与调试</w:t>
            </w:r>
          </w:p>
          <w:p>
            <w:pPr>
              <w:spacing w:line="360" w:lineRule="exact"/>
              <w:ind w:firstLine="0" w:firstLineChars="0"/>
              <w:jc w:val="center"/>
              <w:rPr>
                <w:rFonts w:asciiTheme="minorEastAsia" w:hAnsiTheme="minorEastAsia" w:cstheme="minorEastAsia"/>
                <w:sz w:val="21"/>
                <w:szCs w:val="21"/>
              </w:rPr>
            </w:pPr>
          </w:p>
        </w:tc>
        <w:tc>
          <w:tcPr>
            <w:tcW w:w="1104" w:type="dxa"/>
            <w:vMerge w:val="restart"/>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15min</w:t>
            </w:r>
          </w:p>
        </w:tc>
        <w:tc>
          <w:tcPr>
            <w:tcW w:w="2955" w:type="dxa"/>
            <w:noWrap/>
            <w:vAlign w:val="center"/>
          </w:tcPr>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1.正确识读电动机连续正转控制线路图</w:t>
            </w:r>
          </w:p>
        </w:tc>
        <w:tc>
          <w:tcPr>
            <w:tcW w:w="615" w:type="dxa"/>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30</w:t>
            </w:r>
          </w:p>
        </w:tc>
        <w:tc>
          <w:tcPr>
            <w:tcW w:w="660" w:type="dxa"/>
            <w:vMerge w:val="restart"/>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200</w:t>
            </w:r>
          </w:p>
        </w:tc>
        <w:tc>
          <w:tcPr>
            <w:tcW w:w="2510" w:type="dxa"/>
            <w:vMerge w:val="restart"/>
            <w:noWrap/>
            <w:vAlign w:val="center"/>
          </w:tcPr>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1.三相异步电动机、</w:t>
            </w:r>
          </w:p>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2.香蕉插头导线若干，</w:t>
            </w:r>
          </w:p>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3.电动机控制实训挂箱。</w:t>
            </w:r>
          </w:p>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4.万用表熔断器、手套、记号笔、棉纱等。</w:t>
            </w:r>
          </w:p>
          <w:p>
            <w:pPr>
              <w:spacing w:line="360" w:lineRule="exact"/>
              <w:ind w:firstLine="0" w:firstLineChars="0"/>
              <w:jc w:val="left"/>
              <w:rPr>
                <w:rFonts w:asciiTheme="minorEastAsia" w:hAnsi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1104"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955" w:type="dxa"/>
            <w:noWrap/>
            <w:vAlign w:val="center"/>
          </w:tcPr>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2.根据控制线路图，正确选择所需低压电器</w:t>
            </w:r>
          </w:p>
        </w:tc>
        <w:tc>
          <w:tcPr>
            <w:tcW w:w="615" w:type="dxa"/>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30</w:t>
            </w:r>
          </w:p>
        </w:tc>
        <w:tc>
          <w:tcPr>
            <w:tcW w:w="660"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510" w:type="dxa"/>
            <w:vMerge w:val="continue"/>
            <w:noWrap/>
            <w:vAlign w:val="center"/>
          </w:tcPr>
          <w:p>
            <w:pPr>
              <w:spacing w:line="360" w:lineRule="exact"/>
              <w:ind w:firstLine="0" w:firstLineChars="0"/>
              <w:jc w:val="left"/>
              <w:rPr>
                <w:rFonts w:asciiTheme="minorEastAsia" w:hAnsi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1104"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955" w:type="dxa"/>
            <w:noWrap/>
            <w:vAlign w:val="center"/>
          </w:tcPr>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3.电动机连续正转控制线路安装的步骤和工艺要求</w:t>
            </w:r>
          </w:p>
        </w:tc>
        <w:tc>
          <w:tcPr>
            <w:tcW w:w="615" w:type="dxa"/>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40</w:t>
            </w:r>
          </w:p>
        </w:tc>
        <w:tc>
          <w:tcPr>
            <w:tcW w:w="660"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510" w:type="dxa"/>
            <w:vMerge w:val="continue"/>
            <w:noWrap/>
            <w:vAlign w:val="center"/>
          </w:tcPr>
          <w:p>
            <w:pPr>
              <w:spacing w:line="360" w:lineRule="exact"/>
              <w:ind w:firstLine="0" w:firstLineChars="0"/>
              <w:jc w:val="left"/>
              <w:rPr>
                <w:rFonts w:asciiTheme="minorEastAsia" w:hAnsi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1104"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955" w:type="dxa"/>
            <w:noWrap/>
            <w:vAlign w:val="center"/>
          </w:tcPr>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4.使用万用表对控制线路进行故障诊断与处理</w:t>
            </w:r>
          </w:p>
        </w:tc>
        <w:tc>
          <w:tcPr>
            <w:tcW w:w="615" w:type="dxa"/>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40</w:t>
            </w:r>
          </w:p>
        </w:tc>
        <w:tc>
          <w:tcPr>
            <w:tcW w:w="660"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510" w:type="dxa"/>
            <w:vMerge w:val="continue"/>
            <w:noWrap/>
            <w:vAlign w:val="center"/>
          </w:tcPr>
          <w:p>
            <w:pPr>
              <w:spacing w:line="360" w:lineRule="exact"/>
              <w:ind w:firstLine="0" w:firstLineChars="0"/>
              <w:jc w:val="left"/>
              <w:rPr>
                <w:rFonts w:asciiTheme="minorEastAsia" w:hAnsi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1104"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955" w:type="dxa"/>
            <w:noWrap/>
            <w:vAlign w:val="center"/>
          </w:tcPr>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5.仪器、设备正确使用</w:t>
            </w:r>
          </w:p>
        </w:tc>
        <w:tc>
          <w:tcPr>
            <w:tcW w:w="615" w:type="dxa"/>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30</w:t>
            </w:r>
          </w:p>
        </w:tc>
        <w:tc>
          <w:tcPr>
            <w:tcW w:w="660"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510" w:type="dxa"/>
            <w:vMerge w:val="continue"/>
            <w:noWrap/>
            <w:vAlign w:val="center"/>
          </w:tcPr>
          <w:p>
            <w:pPr>
              <w:spacing w:line="360" w:lineRule="exact"/>
              <w:ind w:firstLine="0" w:firstLineChars="0"/>
              <w:jc w:val="left"/>
              <w:rPr>
                <w:rFonts w:asciiTheme="minorEastAsia" w:hAnsi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1104"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955" w:type="dxa"/>
            <w:noWrap/>
            <w:vAlign w:val="center"/>
          </w:tcPr>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6.清理现场卫生</w:t>
            </w:r>
          </w:p>
        </w:tc>
        <w:tc>
          <w:tcPr>
            <w:tcW w:w="615" w:type="dxa"/>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15</w:t>
            </w:r>
          </w:p>
        </w:tc>
        <w:tc>
          <w:tcPr>
            <w:tcW w:w="660"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510" w:type="dxa"/>
            <w:vMerge w:val="continue"/>
            <w:noWrap/>
            <w:vAlign w:val="center"/>
          </w:tcPr>
          <w:p>
            <w:pPr>
              <w:spacing w:line="360" w:lineRule="exact"/>
              <w:ind w:firstLine="0" w:firstLineChars="0"/>
              <w:jc w:val="left"/>
              <w:rPr>
                <w:rFonts w:asciiTheme="minorEastAsia" w:hAnsi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1104"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955" w:type="dxa"/>
            <w:noWrap/>
            <w:vAlign w:val="center"/>
          </w:tcPr>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7.设备、具摆放整齐</w:t>
            </w:r>
          </w:p>
        </w:tc>
        <w:tc>
          <w:tcPr>
            <w:tcW w:w="615" w:type="dxa"/>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15</w:t>
            </w:r>
          </w:p>
        </w:tc>
        <w:tc>
          <w:tcPr>
            <w:tcW w:w="660"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2510" w:type="dxa"/>
            <w:vMerge w:val="continue"/>
            <w:noWrap/>
            <w:vAlign w:val="center"/>
          </w:tcPr>
          <w:p>
            <w:pPr>
              <w:spacing w:line="360" w:lineRule="exact"/>
              <w:ind w:firstLine="0" w:firstLineChars="0"/>
              <w:jc w:val="left"/>
              <w:rPr>
                <w:rFonts w:asciiTheme="minorEastAsia" w:hAnsi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6.</w:t>
            </w:r>
            <w:r>
              <w:rPr>
                <w:rFonts w:hint="eastAsia" w:ascii="宋体" w:hAnsi="宋体" w:eastAsia="宋体" w:cs="宋体"/>
                <w:sz w:val="21"/>
                <w:szCs w:val="21"/>
              </w:rPr>
              <w:t>电器设备安全停送电操作的安全操作</w:t>
            </w:r>
          </w:p>
        </w:tc>
        <w:tc>
          <w:tcPr>
            <w:tcW w:w="1104" w:type="dxa"/>
            <w:vMerge w:val="restart"/>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15min</w:t>
            </w:r>
          </w:p>
        </w:tc>
        <w:tc>
          <w:tcPr>
            <w:tcW w:w="2955" w:type="dxa"/>
            <w:noWrap/>
            <w:vAlign w:val="center"/>
          </w:tcPr>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1.遵守安全操作规范</w:t>
            </w:r>
          </w:p>
        </w:tc>
        <w:tc>
          <w:tcPr>
            <w:tcW w:w="615" w:type="dxa"/>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20</w:t>
            </w:r>
          </w:p>
        </w:tc>
        <w:tc>
          <w:tcPr>
            <w:tcW w:w="660" w:type="dxa"/>
            <w:vMerge w:val="restart"/>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200</w:t>
            </w:r>
          </w:p>
        </w:tc>
        <w:tc>
          <w:tcPr>
            <w:tcW w:w="2510" w:type="dxa"/>
            <w:vMerge w:val="restart"/>
            <w:noWrap/>
            <w:vAlign w:val="center"/>
          </w:tcPr>
          <w:p>
            <w:pPr>
              <w:tabs>
                <w:tab w:val="left" w:pos="451"/>
              </w:tabs>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1.验电笔（器），携带式接地线</w:t>
            </w:r>
          </w:p>
          <w:p>
            <w:pPr>
              <w:tabs>
                <w:tab w:val="left" w:pos="451"/>
              </w:tabs>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2.绝缘手套，绝缘鞋。</w:t>
            </w:r>
          </w:p>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3.待停、送电设备</w:t>
            </w:r>
          </w:p>
          <w:p>
            <w:pPr>
              <w:spacing w:line="360" w:lineRule="exact"/>
              <w:ind w:firstLine="0" w:firstLineChars="0"/>
              <w:jc w:val="left"/>
              <w:rPr>
                <w:rFonts w:asciiTheme="minorEastAsia" w:hAnsi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1104" w:type="dxa"/>
            <w:vMerge w:val="continue"/>
            <w:noWrap/>
            <w:vAlign w:val="center"/>
          </w:tcPr>
          <w:p>
            <w:pPr>
              <w:spacing w:line="360" w:lineRule="exact"/>
              <w:ind w:firstLine="0" w:firstLineChars="0"/>
              <w:jc w:val="left"/>
              <w:rPr>
                <w:rFonts w:asciiTheme="minorEastAsia" w:hAnsiTheme="minorEastAsia" w:cstheme="minorEastAsia"/>
                <w:sz w:val="21"/>
                <w:szCs w:val="21"/>
              </w:rPr>
            </w:pPr>
          </w:p>
        </w:tc>
        <w:tc>
          <w:tcPr>
            <w:tcW w:w="2955" w:type="dxa"/>
            <w:noWrap/>
            <w:vAlign w:val="center"/>
          </w:tcPr>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2.核对操作票。</w:t>
            </w:r>
          </w:p>
        </w:tc>
        <w:tc>
          <w:tcPr>
            <w:tcW w:w="615" w:type="dxa"/>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20</w:t>
            </w:r>
          </w:p>
        </w:tc>
        <w:tc>
          <w:tcPr>
            <w:tcW w:w="660" w:type="dxa"/>
            <w:vMerge w:val="continue"/>
            <w:noWrap/>
            <w:vAlign w:val="center"/>
          </w:tcPr>
          <w:p>
            <w:pPr>
              <w:spacing w:line="360" w:lineRule="exact"/>
              <w:ind w:firstLine="0" w:firstLineChars="0"/>
              <w:jc w:val="left"/>
              <w:rPr>
                <w:rFonts w:asciiTheme="minorEastAsia" w:hAnsiTheme="minorEastAsia" w:cstheme="minorEastAsia"/>
                <w:sz w:val="21"/>
                <w:szCs w:val="21"/>
              </w:rPr>
            </w:pPr>
          </w:p>
        </w:tc>
        <w:tc>
          <w:tcPr>
            <w:tcW w:w="2510" w:type="dxa"/>
            <w:vMerge w:val="continue"/>
            <w:noWrap/>
            <w:vAlign w:val="center"/>
          </w:tcPr>
          <w:p>
            <w:pPr>
              <w:spacing w:line="360" w:lineRule="exact"/>
              <w:ind w:firstLine="0" w:firstLineChars="0"/>
              <w:jc w:val="left"/>
              <w:rPr>
                <w:rFonts w:asciiTheme="minorEastAsia" w:hAnsi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1104" w:type="dxa"/>
            <w:vMerge w:val="continue"/>
            <w:noWrap/>
            <w:vAlign w:val="center"/>
          </w:tcPr>
          <w:p>
            <w:pPr>
              <w:spacing w:line="360" w:lineRule="exact"/>
              <w:ind w:firstLine="0" w:firstLineChars="0"/>
              <w:jc w:val="left"/>
              <w:rPr>
                <w:rFonts w:asciiTheme="minorEastAsia" w:hAnsiTheme="minorEastAsia" w:cstheme="minorEastAsia"/>
                <w:sz w:val="21"/>
                <w:szCs w:val="21"/>
              </w:rPr>
            </w:pPr>
          </w:p>
        </w:tc>
        <w:tc>
          <w:tcPr>
            <w:tcW w:w="2955" w:type="dxa"/>
            <w:noWrap/>
            <w:vAlign w:val="center"/>
          </w:tcPr>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3.正确穿着个人防护用品，安全用具检查</w:t>
            </w:r>
            <w:r>
              <w:rPr>
                <w:rFonts w:hint="eastAsia" w:asciiTheme="minorEastAsia" w:hAnsiTheme="minorEastAsia" w:cstheme="minorEastAsia"/>
                <w:szCs w:val="32"/>
              </w:rPr>
              <w:t>。</w:t>
            </w:r>
          </w:p>
        </w:tc>
        <w:tc>
          <w:tcPr>
            <w:tcW w:w="615" w:type="dxa"/>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30</w:t>
            </w:r>
          </w:p>
        </w:tc>
        <w:tc>
          <w:tcPr>
            <w:tcW w:w="660" w:type="dxa"/>
            <w:vMerge w:val="continue"/>
            <w:noWrap/>
            <w:vAlign w:val="center"/>
          </w:tcPr>
          <w:p>
            <w:pPr>
              <w:spacing w:line="360" w:lineRule="exact"/>
              <w:ind w:firstLine="0" w:firstLineChars="0"/>
              <w:jc w:val="left"/>
              <w:rPr>
                <w:rFonts w:asciiTheme="minorEastAsia" w:hAnsiTheme="minorEastAsia" w:cstheme="minorEastAsia"/>
                <w:sz w:val="21"/>
                <w:szCs w:val="21"/>
              </w:rPr>
            </w:pPr>
          </w:p>
        </w:tc>
        <w:tc>
          <w:tcPr>
            <w:tcW w:w="2510" w:type="dxa"/>
            <w:vMerge w:val="continue"/>
            <w:noWrap/>
            <w:vAlign w:val="center"/>
          </w:tcPr>
          <w:p>
            <w:pPr>
              <w:spacing w:line="360" w:lineRule="exact"/>
              <w:ind w:firstLine="0" w:firstLineChars="0"/>
              <w:jc w:val="left"/>
              <w:rPr>
                <w:rFonts w:asciiTheme="minorEastAsia" w:hAnsi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1104" w:type="dxa"/>
            <w:vMerge w:val="continue"/>
            <w:noWrap/>
            <w:vAlign w:val="center"/>
          </w:tcPr>
          <w:p>
            <w:pPr>
              <w:spacing w:line="360" w:lineRule="exact"/>
              <w:ind w:firstLine="0" w:firstLineChars="0"/>
              <w:jc w:val="left"/>
              <w:rPr>
                <w:rFonts w:asciiTheme="minorEastAsia" w:hAnsiTheme="minorEastAsia" w:cstheme="minorEastAsia"/>
                <w:sz w:val="21"/>
                <w:szCs w:val="21"/>
              </w:rPr>
            </w:pPr>
          </w:p>
        </w:tc>
        <w:tc>
          <w:tcPr>
            <w:tcW w:w="2955" w:type="dxa"/>
            <w:noWrap/>
            <w:vAlign w:val="center"/>
          </w:tcPr>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4.操作前安全检查。</w:t>
            </w:r>
          </w:p>
        </w:tc>
        <w:tc>
          <w:tcPr>
            <w:tcW w:w="615" w:type="dxa"/>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30</w:t>
            </w:r>
          </w:p>
        </w:tc>
        <w:tc>
          <w:tcPr>
            <w:tcW w:w="660" w:type="dxa"/>
            <w:vMerge w:val="continue"/>
            <w:noWrap/>
            <w:vAlign w:val="center"/>
          </w:tcPr>
          <w:p>
            <w:pPr>
              <w:spacing w:line="360" w:lineRule="exact"/>
              <w:ind w:firstLine="0" w:firstLineChars="0"/>
              <w:jc w:val="left"/>
              <w:rPr>
                <w:rFonts w:asciiTheme="minorEastAsia" w:hAnsiTheme="minorEastAsia" w:cstheme="minorEastAsia"/>
                <w:sz w:val="21"/>
                <w:szCs w:val="21"/>
              </w:rPr>
            </w:pPr>
          </w:p>
        </w:tc>
        <w:tc>
          <w:tcPr>
            <w:tcW w:w="2510" w:type="dxa"/>
            <w:vMerge w:val="continue"/>
            <w:noWrap/>
            <w:vAlign w:val="center"/>
          </w:tcPr>
          <w:p>
            <w:pPr>
              <w:spacing w:line="360" w:lineRule="exact"/>
              <w:ind w:firstLine="0" w:firstLineChars="0"/>
              <w:jc w:val="left"/>
              <w:rPr>
                <w:rFonts w:asciiTheme="minorEastAsia" w:hAnsi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1104" w:type="dxa"/>
            <w:vMerge w:val="continue"/>
            <w:noWrap/>
            <w:vAlign w:val="center"/>
          </w:tcPr>
          <w:p>
            <w:pPr>
              <w:spacing w:line="360" w:lineRule="exact"/>
              <w:ind w:firstLine="0" w:firstLineChars="0"/>
              <w:jc w:val="left"/>
              <w:rPr>
                <w:rFonts w:asciiTheme="minorEastAsia" w:hAnsiTheme="minorEastAsia" w:cstheme="minorEastAsia"/>
                <w:sz w:val="21"/>
                <w:szCs w:val="21"/>
              </w:rPr>
            </w:pPr>
          </w:p>
        </w:tc>
        <w:tc>
          <w:tcPr>
            <w:tcW w:w="2955" w:type="dxa"/>
            <w:noWrap/>
            <w:vAlign w:val="center"/>
          </w:tcPr>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5.操作中安全注意事项。</w:t>
            </w:r>
          </w:p>
        </w:tc>
        <w:tc>
          <w:tcPr>
            <w:tcW w:w="615" w:type="dxa"/>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20</w:t>
            </w:r>
          </w:p>
        </w:tc>
        <w:tc>
          <w:tcPr>
            <w:tcW w:w="660" w:type="dxa"/>
            <w:vMerge w:val="continue"/>
            <w:noWrap/>
            <w:vAlign w:val="center"/>
          </w:tcPr>
          <w:p>
            <w:pPr>
              <w:spacing w:line="360" w:lineRule="exact"/>
              <w:ind w:firstLine="0" w:firstLineChars="0"/>
              <w:jc w:val="left"/>
              <w:rPr>
                <w:rFonts w:asciiTheme="minorEastAsia" w:hAnsiTheme="minorEastAsia" w:cstheme="minorEastAsia"/>
                <w:sz w:val="21"/>
                <w:szCs w:val="21"/>
              </w:rPr>
            </w:pPr>
          </w:p>
        </w:tc>
        <w:tc>
          <w:tcPr>
            <w:tcW w:w="2510" w:type="dxa"/>
            <w:vMerge w:val="continue"/>
            <w:noWrap/>
            <w:vAlign w:val="center"/>
          </w:tcPr>
          <w:p>
            <w:pPr>
              <w:spacing w:line="360" w:lineRule="exact"/>
              <w:ind w:firstLine="0" w:firstLineChars="0"/>
              <w:jc w:val="left"/>
              <w:rPr>
                <w:rFonts w:asciiTheme="minorEastAsia" w:hAnsi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1104" w:type="dxa"/>
            <w:vMerge w:val="continue"/>
            <w:noWrap/>
            <w:vAlign w:val="center"/>
          </w:tcPr>
          <w:p>
            <w:pPr>
              <w:spacing w:line="360" w:lineRule="exact"/>
              <w:ind w:firstLine="0" w:firstLineChars="0"/>
              <w:jc w:val="left"/>
              <w:rPr>
                <w:rFonts w:asciiTheme="minorEastAsia" w:hAnsiTheme="minorEastAsia" w:cstheme="minorEastAsia"/>
                <w:sz w:val="21"/>
                <w:szCs w:val="21"/>
              </w:rPr>
            </w:pPr>
          </w:p>
        </w:tc>
        <w:tc>
          <w:tcPr>
            <w:tcW w:w="2955" w:type="dxa"/>
            <w:noWrap/>
            <w:vAlign w:val="center"/>
          </w:tcPr>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6.停送电的正确操作顺序</w:t>
            </w:r>
          </w:p>
        </w:tc>
        <w:tc>
          <w:tcPr>
            <w:tcW w:w="615" w:type="dxa"/>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60</w:t>
            </w:r>
          </w:p>
        </w:tc>
        <w:tc>
          <w:tcPr>
            <w:tcW w:w="660" w:type="dxa"/>
            <w:vMerge w:val="continue"/>
            <w:noWrap/>
            <w:vAlign w:val="center"/>
          </w:tcPr>
          <w:p>
            <w:pPr>
              <w:spacing w:line="360" w:lineRule="exact"/>
              <w:ind w:firstLine="0" w:firstLineChars="0"/>
              <w:jc w:val="left"/>
              <w:rPr>
                <w:rFonts w:asciiTheme="minorEastAsia" w:hAnsiTheme="minorEastAsia" w:cstheme="minorEastAsia"/>
                <w:sz w:val="21"/>
                <w:szCs w:val="21"/>
              </w:rPr>
            </w:pPr>
          </w:p>
        </w:tc>
        <w:tc>
          <w:tcPr>
            <w:tcW w:w="2510" w:type="dxa"/>
            <w:vMerge w:val="continue"/>
            <w:noWrap/>
            <w:vAlign w:val="center"/>
          </w:tcPr>
          <w:p>
            <w:pPr>
              <w:spacing w:line="360" w:lineRule="exact"/>
              <w:ind w:firstLine="0" w:firstLineChars="0"/>
              <w:jc w:val="left"/>
              <w:rPr>
                <w:rFonts w:asciiTheme="minorEastAsia" w:hAnsi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Theme="minorEastAsia" w:hAnsiTheme="minorEastAsia" w:cstheme="minorEastAsia"/>
                <w:sz w:val="21"/>
                <w:szCs w:val="21"/>
              </w:rPr>
            </w:pPr>
          </w:p>
        </w:tc>
        <w:tc>
          <w:tcPr>
            <w:tcW w:w="1104" w:type="dxa"/>
            <w:vMerge w:val="continue"/>
            <w:noWrap/>
            <w:vAlign w:val="center"/>
          </w:tcPr>
          <w:p>
            <w:pPr>
              <w:spacing w:line="360" w:lineRule="exact"/>
              <w:ind w:firstLine="0" w:firstLineChars="0"/>
              <w:jc w:val="left"/>
              <w:rPr>
                <w:rFonts w:asciiTheme="minorEastAsia" w:hAnsiTheme="minorEastAsia" w:cstheme="minorEastAsia"/>
                <w:sz w:val="21"/>
                <w:szCs w:val="21"/>
              </w:rPr>
            </w:pPr>
          </w:p>
        </w:tc>
        <w:tc>
          <w:tcPr>
            <w:tcW w:w="2955" w:type="dxa"/>
            <w:noWrap/>
            <w:vAlign w:val="center"/>
          </w:tcPr>
          <w:p>
            <w:pPr>
              <w:spacing w:line="360" w:lineRule="exact"/>
              <w:ind w:firstLine="0" w:firstLineChars="0"/>
              <w:jc w:val="left"/>
              <w:rPr>
                <w:rFonts w:asciiTheme="minorEastAsia" w:hAnsiTheme="minorEastAsia" w:cstheme="minorEastAsia"/>
                <w:sz w:val="21"/>
                <w:szCs w:val="21"/>
              </w:rPr>
            </w:pPr>
            <w:r>
              <w:rPr>
                <w:rFonts w:hint="eastAsia" w:asciiTheme="minorEastAsia" w:hAnsiTheme="minorEastAsia" w:cstheme="minorEastAsia"/>
                <w:sz w:val="21"/>
                <w:szCs w:val="21"/>
              </w:rPr>
              <w:t>7.操作完成后进行安全检查</w:t>
            </w:r>
          </w:p>
        </w:tc>
        <w:tc>
          <w:tcPr>
            <w:tcW w:w="615" w:type="dxa"/>
            <w:noWrap/>
            <w:vAlign w:val="center"/>
          </w:tcPr>
          <w:p>
            <w:pPr>
              <w:spacing w:line="360" w:lineRule="exact"/>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20</w:t>
            </w:r>
          </w:p>
        </w:tc>
        <w:tc>
          <w:tcPr>
            <w:tcW w:w="660" w:type="dxa"/>
            <w:vMerge w:val="continue"/>
            <w:noWrap/>
            <w:vAlign w:val="center"/>
          </w:tcPr>
          <w:p>
            <w:pPr>
              <w:spacing w:line="360" w:lineRule="exact"/>
              <w:ind w:firstLine="0" w:firstLineChars="0"/>
              <w:jc w:val="left"/>
              <w:rPr>
                <w:rFonts w:asciiTheme="minorEastAsia" w:hAnsiTheme="minorEastAsia" w:cstheme="minorEastAsia"/>
                <w:sz w:val="21"/>
                <w:szCs w:val="21"/>
              </w:rPr>
            </w:pPr>
          </w:p>
        </w:tc>
        <w:tc>
          <w:tcPr>
            <w:tcW w:w="2510" w:type="dxa"/>
            <w:vMerge w:val="continue"/>
            <w:noWrap/>
            <w:vAlign w:val="center"/>
          </w:tcPr>
          <w:p>
            <w:pPr>
              <w:spacing w:line="360" w:lineRule="exact"/>
              <w:ind w:firstLine="0" w:firstLineChars="0"/>
              <w:jc w:val="left"/>
              <w:rPr>
                <w:rFonts w:asciiTheme="minorEastAsia" w:hAnsiTheme="minorEastAsia" w:cstheme="minorEastAsia"/>
                <w:sz w:val="21"/>
                <w:szCs w:val="21"/>
              </w:rPr>
            </w:pPr>
          </w:p>
        </w:tc>
      </w:tr>
    </w:tbl>
    <w:p>
      <w:pPr>
        <w:pStyle w:val="3"/>
        <w:ind w:firstLine="482"/>
        <w:rPr>
          <w:rFonts w:hint="default"/>
        </w:rPr>
      </w:pPr>
      <w:r>
        <w:t>五</w:t>
      </w:r>
      <w:r>
        <w:rPr>
          <w:rFonts w:hint="default"/>
        </w:rPr>
        <w:t>、考试大纲</w:t>
      </w:r>
      <w:r>
        <w:t>编制</w:t>
      </w:r>
      <w:r>
        <w:rPr>
          <w:rFonts w:hint="default"/>
        </w:rPr>
        <w:t>说明</w:t>
      </w:r>
    </w:p>
    <w:p>
      <w:pPr>
        <w:ind w:firstLine="480"/>
        <w:rPr>
          <w:szCs w:val="32"/>
        </w:rPr>
      </w:pPr>
      <w:r>
        <w:rPr>
          <w:rFonts w:hint="eastAsia"/>
          <w:szCs w:val="32"/>
        </w:rPr>
        <w:t>1.考试大纲编制原则</w:t>
      </w:r>
    </w:p>
    <w:p>
      <w:pPr>
        <w:ind w:firstLine="480"/>
        <w:rPr>
          <w:szCs w:val="32"/>
        </w:rPr>
      </w:pPr>
      <w:r>
        <w:rPr>
          <w:rFonts w:hint="eastAsia"/>
          <w:szCs w:val="32"/>
        </w:rPr>
        <w:t>遵循专业基础知识和岗位核心能力相结合原则，选取典型专业技能项目，将专业知识融入技能操作，考查技能训练教学效果，考核学生职业岗位工作过程；兼顾中等职业学校矿山机电专业教学标准和技术新标准，选取就知就会知识与技能作为考核项目。</w:t>
      </w:r>
    </w:p>
    <w:p>
      <w:pPr>
        <w:ind w:firstLine="480"/>
      </w:pPr>
      <w:r>
        <w:rPr>
          <w:rFonts w:hint="eastAsia"/>
        </w:rPr>
        <w:t>2.考试大纲适用专业</w:t>
      </w:r>
    </w:p>
    <w:p>
      <w:pPr>
        <w:ind w:firstLine="480"/>
      </w:pPr>
      <w:r>
        <w:rPr>
          <w:rFonts w:hint="eastAsia"/>
        </w:rPr>
        <w:t>本考试大纲适用于中等职业学校矿山机电专业。</w:t>
      </w:r>
    </w:p>
    <w:p>
      <w:pPr>
        <w:ind w:firstLine="480"/>
      </w:pPr>
      <w:r>
        <w:rPr>
          <w:rFonts w:hint="eastAsia"/>
        </w:rPr>
        <w:t>3.教学内容及实施建议</w:t>
      </w:r>
    </w:p>
    <w:p>
      <w:pPr>
        <w:ind w:firstLine="480"/>
        <w:rPr>
          <w:szCs w:val="32"/>
        </w:rPr>
      </w:pPr>
      <w:r>
        <w:rPr>
          <w:rFonts w:hint="eastAsia"/>
          <w:szCs w:val="32"/>
        </w:rPr>
        <w:t>（1）考纲对应教学内容，全面考核中等职业学校矿山机电专业学生在常用矿山机电设备的操作方法和规范能力，考试范围及难易程度合理，适用于选拔技术技能人才。</w:t>
      </w:r>
    </w:p>
    <w:p>
      <w:pPr>
        <w:ind w:firstLine="480"/>
        <w:rPr>
          <w:szCs w:val="32"/>
        </w:rPr>
      </w:pPr>
      <w:r>
        <w:rPr>
          <w:rFonts w:hint="eastAsia"/>
          <w:szCs w:val="32"/>
        </w:rPr>
        <w:t>（2）教学实施建议，本次给定的2024年考核项目是中等职业学校矿山机电专业教学内容的一部分，考核项目每年有一定变化；建议中等职业学校依据本专业教学标准，合理匹配理论与实践教学，全面提升学生专业能力及综合素养。</w:t>
      </w:r>
    </w:p>
    <w:p>
      <w:pPr>
        <w:ind w:firstLine="480"/>
        <w:rPr>
          <w:szCs w:val="32"/>
        </w:rPr>
      </w:pPr>
      <w:r>
        <w:rPr>
          <w:rFonts w:hint="eastAsia"/>
          <w:szCs w:val="32"/>
        </w:rPr>
        <w:t>4.技能考试过程</w:t>
      </w:r>
    </w:p>
    <w:p>
      <w:pPr>
        <w:ind w:firstLine="480"/>
        <w:rPr>
          <w:szCs w:val="32"/>
        </w:rPr>
      </w:pPr>
      <w:r>
        <w:rPr>
          <w:rFonts w:hint="eastAsia"/>
          <w:szCs w:val="32"/>
        </w:rPr>
        <w:t>矿山机电专业技能考试采取实操方式进行，时间为15分钟；依据不同技能考核项目综合考察学生对矿山机电设备的使用、维护及操作能力。</w:t>
      </w:r>
    </w:p>
    <w:p>
      <w:pPr>
        <w:ind w:firstLine="480"/>
        <w:rPr>
          <w:szCs w:val="32"/>
        </w:rPr>
      </w:pPr>
      <w:r>
        <w:rPr>
          <w:rFonts w:hint="eastAsia"/>
          <w:szCs w:val="32"/>
        </w:rPr>
        <w:t>5.评价赋分形式</w:t>
      </w:r>
    </w:p>
    <w:p>
      <w:pPr>
        <w:ind w:firstLine="480"/>
        <w:rPr>
          <w:szCs w:val="32"/>
        </w:rPr>
      </w:pPr>
      <w:r>
        <w:rPr>
          <w:rFonts w:hint="eastAsia"/>
          <w:szCs w:val="32"/>
        </w:rPr>
        <w:t>矿山机电专业技能考核是学生日常学习成果的综合体现，为过程性评价，同时注重操作质量，权重合理。</w:t>
      </w:r>
    </w:p>
    <w:p>
      <w:pPr>
        <w:ind w:firstLine="480"/>
        <w:rPr>
          <w:szCs w:val="32"/>
        </w:rPr>
      </w:pPr>
    </w:p>
    <w:p>
      <w:pPr>
        <w:spacing w:line="440" w:lineRule="exact"/>
        <w:ind w:firstLine="0" w:firstLineChars="0"/>
        <w:rPr>
          <w:rFonts w:ascii="宋体" w:hAnsi="宋体" w:cs="Arial"/>
          <w:b/>
          <w:kern w:val="0"/>
        </w:rPr>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0000000000000000000"/>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auto"/>
    <w:pitch w:val="default"/>
    <w:sig w:usb0="00000000" w:usb1="00000000" w:usb2="00000000" w:usb3="00000000" w:csb0="00040000" w:csb1="00000000"/>
  </w:font>
  <w:font w:name="Arial">
    <w:panose1 w:val="020B0604020202020204"/>
    <w:charset w:val="00"/>
    <w:family w:val="swiss"/>
    <w:pitch w:val="default"/>
    <w:sig w:usb0="E0002EFF" w:usb1="C000785B" w:usb2="00000009" w:usb3="00000000" w:csb0="400001FF" w:csb1="FFFF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FjOWUzZWFlZGNjZDlhZjdjMjlmMmY5YWQ0ODc0M2YifQ=="/>
  </w:docVars>
  <w:rsids>
    <w:rsidRoot w:val="00557032"/>
    <w:rsid w:val="00032A67"/>
    <w:rsid w:val="00557032"/>
    <w:rsid w:val="0059034D"/>
    <w:rsid w:val="0070320A"/>
    <w:rsid w:val="00736101"/>
    <w:rsid w:val="007436A4"/>
    <w:rsid w:val="00777BF4"/>
    <w:rsid w:val="00CE7554"/>
    <w:rsid w:val="038E0703"/>
    <w:rsid w:val="04B34B43"/>
    <w:rsid w:val="05544226"/>
    <w:rsid w:val="07025EC3"/>
    <w:rsid w:val="07D65083"/>
    <w:rsid w:val="08EF1AEA"/>
    <w:rsid w:val="0F493E93"/>
    <w:rsid w:val="11334809"/>
    <w:rsid w:val="126A1B24"/>
    <w:rsid w:val="15A177F9"/>
    <w:rsid w:val="17E03797"/>
    <w:rsid w:val="186510A6"/>
    <w:rsid w:val="1A450189"/>
    <w:rsid w:val="1AC92B69"/>
    <w:rsid w:val="1E4D49BD"/>
    <w:rsid w:val="1F332CA6"/>
    <w:rsid w:val="1FC475AA"/>
    <w:rsid w:val="22086FD9"/>
    <w:rsid w:val="22934188"/>
    <w:rsid w:val="23F7779D"/>
    <w:rsid w:val="24600C0F"/>
    <w:rsid w:val="26A5448A"/>
    <w:rsid w:val="26C52CC8"/>
    <w:rsid w:val="27DF1DDE"/>
    <w:rsid w:val="28C03666"/>
    <w:rsid w:val="29E947E9"/>
    <w:rsid w:val="2B627E31"/>
    <w:rsid w:val="2DCD5A87"/>
    <w:rsid w:val="33D214F9"/>
    <w:rsid w:val="35EA0FD5"/>
    <w:rsid w:val="38755BD4"/>
    <w:rsid w:val="39765034"/>
    <w:rsid w:val="3BB014AF"/>
    <w:rsid w:val="3BE850ED"/>
    <w:rsid w:val="3FB43F86"/>
    <w:rsid w:val="407A7E48"/>
    <w:rsid w:val="41313092"/>
    <w:rsid w:val="4171348E"/>
    <w:rsid w:val="41E97C6C"/>
    <w:rsid w:val="42B02484"/>
    <w:rsid w:val="42CC18D7"/>
    <w:rsid w:val="4314024B"/>
    <w:rsid w:val="438A4CDB"/>
    <w:rsid w:val="448C7851"/>
    <w:rsid w:val="44A83654"/>
    <w:rsid w:val="47694DF5"/>
    <w:rsid w:val="48A73C3A"/>
    <w:rsid w:val="4A047CB4"/>
    <w:rsid w:val="4CB52B24"/>
    <w:rsid w:val="4D0111D0"/>
    <w:rsid w:val="4E296E9F"/>
    <w:rsid w:val="50B16A74"/>
    <w:rsid w:val="51336C7B"/>
    <w:rsid w:val="515558F4"/>
    <w:rsid w:val="51891FEC"/>
    <w:rsid w:val="579F72CD"/>
    <w:rsid w:val="5CE943C9"/>
    <w:rsid w:val="5E3D4F96"/>
    <w:rsid w:val="5EC13091"/>
    <w:rsid w:val="5F72683B"/>
    <w:rsid w:val="6231453C"/>
    <w:rsid w:val="66061B48"/>
    <w:rsid w:val="68662D72"/>
    <w:rsid w:val="691C6225"/>
    <w:rsid w:val="6991630A"/>
    <w:rsid w:val="6BB64010"/>
    <w:rsid w:val="6BCB555C"/>
    <w:rsid w:val="779416A9"/>
    <w:rsid w:val="791906D8"/>
    <w:rsid w:val="7C683105"/>
    <w:rsid w:val="7E9548A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qFormat/>
    <w:uiPriority w:val="0"/>
    <w:pPr>
      <w:keepNext/>
      <w:keepLines/>
      <w:spacing w:line="576" w:lineRule="auto"/>
      <w:jc w:val="center"/>
      <w:outlineLvl w:val="0"/>
    </w:pPr>
    <w:rPr>
      <w:rFonts w:eastAsia="黑体"/>
      <w:b/>
      <w:kern w:val="44"/>
      <w:sz w:val="28"/>
    </w:rPr>
  </w:style>
  <w:style w:type="paragraph" w:styleId="3">
    <w:name w:val="heading 2"/>
    <w:basedOn w:val="1"/>
    <w:next w:val="1"/>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页眉 Char"/>
    <w:basedOn w:val="9"/>
    <w:link w:val="5"/>
    <w:qFormat/>
    <w:uiPriority w:val="0"/>
    <w:rPr>
      <w:rFonts w:asciiTheme="minorHAnsi" w:hAnsiTheme="minorHAnsi" w:eastAsiaTheme="minorEastAsia" w:cstheme="minorBidi"/>
      <w:kern w:val="2"/>
      <w:sz w:val="18"/>
      <w:szCs w:val="18"/>
    </w:rPr>
  </w:style>
  <w:style w:type="character" w:customStyle="1" w:styleId="11">
    <w:name w:val="页脚 Char"/>
    <w:basedOn w:val="9"/>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rotWithShape="0">
          <a:gsLst>
            <a:gs pos="0">
              <a:schemeClr val="phClr">
                <a:lumOff val="17500"/>
              </a:schemeClr>
            </a:gs>
            <a:gs pos="100000">
              <a:schemeClr val="phClr"/>
            </a:gs>
          </a:gsLst>
          <a:lin ang="2700000" scaled="0"/>
        </a:gradFill>
        <a:gradFill rotWithShape="0">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709</Words>
  <Characters>4042</Characters>
  <Lines>33</Lines>
  <Paragraphs>9</Paragraphs>
  <TotalTime>6</TotalTime>
  <ScaleCrop>false</ScaleCrop>
  <LinksUpToDate>false</LinksUpToDate>
  <CharactersWithSpaces>4742</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2023-11-05T04:56:00Z</dcterms:created>
  <dc:creator>季海成</dc:creator>
  <cp:lastModifiedBy>Echo</cp:lastModifiedBy>
  <dcterms:modified xsi:type="dcterms:W3CDTF">2024-03-05T01:09:20Z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1989977B423344C983C87467FCCD98DF_13</vt:lpwstr>
  </property>
</Properties>
</file>