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sz w:val="24"/>
          <w:szCs w:val="32"/>
        </w:rPr>
      </w:pPr>
      <w:r>
        <w:rPr>
          <w:rFonts w:hint="eastAsia"/>
        </w:rPr>
        <w:t>2024年黑龙江省职业教育春季高考作物生产类专业技能操作考试大纲</w:t>
      </w:r>
    </w:p>
    <w:p>
      <w:pPr>
        <w:pStyle w:val="3"/>
        <w:ind w:firstLine="482"/>
        <w:rPr>
          <w:rFonts w:hint="default"/>
          <w:szCs w:val="24"/>
        </w:rPr>
      </w:pPr>
      <w:r>
        <w:rPr>
          <w:szCs w:val="24"/>
        </w:rPr>
        <w:t>一、考试依据</w:t>
      </w:r>
    </w:p>
    <w:p>
      <w:pPr>
        <w:ind w:firstLine="480"/>
      </w:pPr>
      <w:r>
        <w:rPr>
          <w:rFonts w:hint="eastAsia"/>
        </w:rPr>
        <w:t>1.参照中华人民共和国教育部职业教育与成人教育司颁布的《中等职业学校专业教学标准（试行）》，2017 年 8 月 26 日发布。</w:t>
      </w:r>
    </w:p>
    <w:p>
      <w:pPr>
        <w:ind w:firstLine="480"/>
      </w:pPr>
      <w:r>
        <w:rPr>
          <w:rFonts w:hint="eastAsia"/>
        </w:rPr>
        <w:t>2.参照中华人民共和国教育部职业教育与成人教育司颁布的《职业教育专业目录（2021年修订）》；职业教育专业简介（2022年修订）。</w:t>
      </w:r>
    </w:p>
    <w:p>
      <w:pPr>
        <w:ind w:firstLine="480"/>
      </w:pPr>
      <w:r>
        <w:rPr>
          <w:rFonts w:hint="eastAsia"/>
        </w:rPr>
        <w:t>3.参照农艺师技能等级证书各模块初级认证标准；蔬菜园艺工、花卉园艺工技能等级证书初、中级职业技能标准。</w:t>
      </w:r>
    </w:p>
    <w:p>
      <w:pPr>
        <w:ind w:firstLine="480"/>
      </w:pPr>
      <w:r>
        <w:rPr>
          <w:rFonts w:hint="eastAsia"/>
        </w:rPr>
        <w:t>4.作物生产类专业对口涵盖专业范围，如表1所示。</w:t>
      </w:r>
    </w:p>
    <w:p>
      <w:pPr>
        <w:ind w:firstLine="480"/>
        <w:jc w:val="center"/>
        <w:rPr>
          <w:szCs w:val="32"/>
        </w:rPr>
      </w:pPr>
      <w:r>
        <w:rPr>
          <w:rFonts w:hint="eastAsia" w:ascii="黑体" w:hAnsi="黑体" w:eastAsia="黑体" w:cs="黑体"/>
          <w:szCs w:val="32"/>
        </w:rPr>
        <w:t>表1 作物生产类专业对口涵盖专业范围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接续高职专科相关专业</w:t>
            </w:r>
          </w:p>
        </w:tc>
        <w:tc>
          <w:tcPr>
            <w:tcW w:w="2841" w:type="dxa"/>
            <w:vAlign w:val="center"/>
          </w:tcPr>
          <w:p>
            <w:pPr>
              <w:widowControl/>
              <w:ind w:firstLine="422"/>
              <w:rPr>
                <w:rFonts w:ascii="宋体" w:hAnsi="宋体" w:eastAsia="宋体" w:cs="宋体"/>
                <w:b/>
                <w:bCs/>
                <w:kern w:val="0"/>
                <w:sz w:val="21"/>
                <w:szCs w:val="21"/>
              </w:rPr>
            </w:pPr>
            <w:r>
              <w:rPr>
                <w:rFonts w:hint="eastAsia" w:ascii="宋体" w:hAnsi="宋体" w:eastAsia="宋体" w:cs="宋体"/>
                <w:b/>
                <w:bCs/>
                <w:kern w:val="0"/>
                <w:sz w:val="21"/>
                <w:szCs w:val="21"/>
              </w:rPr>
              <w:t>接续高职本科专业</w:t>
            </w:r>
          </w:p>
          <w:p>
            <w:pPr>
              <w:widowControl/>
              <w:ind w:firstLine="422"/>
              <w:rPr>
                <w:rFonts w:ascii="宋体" w:hAnsi="宋体" w:eastAsia="宋体" w:cs="宋体"/>
                <w:b/>
                <w:bCs/>
                <w:kern w:val="0"/>
                <w:sz w:val="21"/>
                <w:szCs w:val="21"/>
              </w:rPr>
            </w:pPr>
            <w:r>
              <w:rPr>
                <w:rFonts w:hint="eastAsia" w:ascii="宋体" w:hAnsi="宋体" w:eastAsia="宋体" w:cs="宋体"/>
                <w:b/>
                <w:bCs/>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2840" w:type="dxa"/>
          </w:tcPr>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作物生产技术610102</w:t>
            </w:r>
          </w:p>
          <w:p>
            <w:pPr>
              <w:widowControl/>
              <w:ind w:firstLine="0" w:firstLineChars="0"/>
              <w:jc w:val="left"/>
              <w:rPr>
                <w:rFonts w:ascii="宋体" w:hAnsi="宋体" w:eastAsia="宋体" w:cs="宋体"/>
                <w:bCs/>
                <w:color w:val="E54C5E" w:themeColor="accent6"/>
                <w:sz w:val="21"/>
                <w:szCs w:val="21"/>
              </w:rPr>
            </w:pPr>
            <w:r>
              <w:rPr>
                <w:rFonts w:ascii="Times New Roman" w:hAnsi="Times New Roman" w:eastAsia="宋体" w:cs="Times New Roman"/>
                <w:kern w:val="0"/>
                <w:sz w:val="21"/>
                <w:szCs w:val="21"/>
              </w:rPr>
              <w:t>休闲农业生产与经营610118</w:t>
            </w:r>
          </w:p>
        </w:tc>
        <w:tc>
          <w:tcPr>
            <w:tcW w:w="2841" w:type="dxa"/>
          </w:tcPr>
          <w:p>
            <w:pPr>
              <w:widowControl/>
              <w:wordWrap w:val="0"/>
              <w:spacing w:line="240" w:lineRule="atLeast"/>
              <w:ind w:firstLine="0" w:firstLineChars="0"/>
              <w:jc w:val="left"/>
              <w:textAlignment w:val="center"/>
              <w:rPr>
                <w:rFonts w:ascii="Times New Roman" w:hAnsi="Times New Roman" w:eastAsia="宋体" w:cs="Times New Roman"/>
                <w:color w:val="333333"/>
                <w:kern w:val="0"/>
                <w:sz w:val="21"/>
                <w:szCs w:val="21"/>
              </w:rPr>
            </w:pPr>
            <w:r>
              <w:rPr>
                <w:rFonts w:ascii="Times New Roman" w:hAnsi="Times New Roman" w:eastAsia="宋体" w:cs="Times New Roman"/>
                <w:color w:val="333333"/>
                <w:kern w:val="0"/>
                <w:sz w:val="21"/>
                <w:szCs w:val="21"/>
              </w:rPr>
              <w:t>作物生产与经营管理410102</w:t>
            </w:r>
          </w:p>
          <w:p>
            <w:pPr>
              <w:widowControl/>
              <w:wordWrap w:val="0"/>
              <w:spacing w:line="240" w:lineRule="atLeast"/>
              <w:ind w:firstLine="0" w:firstLineChars="0"/>
              <w:jc w:val="left"/>
              <w:textAlignment w:val="center"/>
              <w:rPr>
                <w:rFonts w:ascii="Times New Roman" w:hAnsi="Times New Roman" w:eastAsia="宋体" w:cs="Times New Roman"/>
                <w:color w:val="333333"/>
                <w:kern w:val="0"/>
                <w:sz w:val="21"/>
                <w:szCs w:val="21"/>
              </w:rPr>
            </w:pPr>
            <w:r>
              <w:rPr>
                <w:rFonts w:ascii="Times New Roman" w:hAnsi="Times New Roman" w:eastAsia="宋体" w:cs="Times New Roman"/>
                <w:color w:val="333333"/>
                <w:kern w:val="0"/>
                <w:sz w:val="21"/>
                <w:szCs w:val="21"/>
              </w:rPr>
              <w:t>休闲农业经营与管理410118</w:t>
            </w:r>
          </w:p>
          <w:p>
            <w:pPr>
              <w:widowControl/>
              <w:wordWrap w:val="0"/>
              <w:spacing w:line="240" w:lineRule="atLeast"/>
              <w:ind w:firstLine="0" w:firstLineChars="0"/>
              <w:jc w:val="left"/>
              <w:textAlignment w:val="center"/>
              <w:rPr>
                <w:rFonts w:ascii="Times New Roman" w:hAnsi="Times New Roman" w:eastAsia="宋体" w:cs="Times New Roman"/>
                <w:color w:val="E54C5E" w:themeColor="accent6"/>
                <w:sz w:val="21"/>
                <w:szCs w:val="21"/>
              </w:rPr>
            </w:pPr>
            <w:r>
              <w:rPr>
                <w:rFonts w:ascii="Times New Roman" w:hAnsi="Times New Roman" w:eastAsia="宋体" w:cs="Times New Roman"/>
                <w:color w:val="333333"/>
                <w:kern w:val="0"/>
                <w:sz w:val="21"/>
                <w:szCs w:val="21"/>
              </w:rPr>
              <w:t>森林生态旅游与康养410210</w:t>
            </w:r>
          </w:p>
        </w:tc>
        <w:tc>
          <w:tcPr>
            <w:tcW w:w="2841" w:type="dxa"/>
          </w:tcPr>
          <w:p>
            <w:pPr>
              <w:widowControl/>
              <w:wordWrap w:val="0"/>
              <w:spacing w:line="240" w:lineRule="atLeast"/>
              <w:ind w:firstLine="0" w:firstLineChars="0"/>
              <w:jc w:val="left"/>
              <w:textAlignment w:val="center"/>
              <w:rPr>
                <w:rFonts w:ascii="Times New Roman" w:hAnsi="Times New Roman" w:eastAsia="宋体" w:cs="Times New Roman"/>
                <w:color w:val="333333"/>
                <w:kern w:val="0"/>
                <w:sz w:val="21"/>
                <w:szCs w:val="21"/>
              </w:rPr>
            </w:pPr>
            <w:r>
              <w:rPr>
                <w:rFonts w:ascii="Times New Roman" w:hAnsi="Times New Roman" w:eastAsia="宋体" w:cs="Times New Roman"/>
                <w:color w:val="333333"/>
                <w:kern w:val="0"/>
                <w:sz w:val="21"/>
                <w:szCs w:val="21"/>
              </w:rPr>
              <w:t>作物生产与品质改良210102</w:t>
            </w:r>
          </w:p>
          <w:p>
            <w:pPr>
              <w:widowControl/>
              <w:wordWrap w:val="0"/>
              <w:spacing w:line="240" w:lineRule="atLeast"/>
              <w:ind w:firstLine="0" w:firstLineChars="0"/>
              <w:jc w:val="left"/>
              <w:textAlignment w:val="center"/>
              <w:rPr>
                <w:rFonts w:ascii="Times New Roman" w:hAnsi="Times New Roman" w:eastAsia="宋体" w:cs="Times New Roman"/>
                <w:color w:val="333333"/>
                <w:kern w:val="0"/>
                <w:sz w:val="21"/>
                <w:szCs w:val="21"/>
              </w:rPr>
            </w:pPr>
            <w:r>
              <w:rPr>
                <w:rFonts w:ascii="Times New Roman" w:hAnsi="Times New Roman" w:eastAsia="宋体" w:cs="Times New Roman"/>
                <w:color w:val="333333"/>
                <w:kern w:val="0"/>
                <w:sz w:val="21"/>
                <w:szCs w:val="21"/>
              </w:rPr>
              <w:t>现代农业经营与管理410119</w:t>
            </w:r>
          </w:p>
          <w:p>
            <w:pPr>
              <w:widowControl/>
              <w:wordWrap w:val="0"/>
              <w:spacing w:line="240" w:lineRule="atLeast"/>
              <w:ind w:firstLine="0" w:firstLineChars="0"/>
              <w:jc w:val="left"/>
              <w:textAlignment w:val="center"/>
              <w:rPr>
                <w:rFonts w:ascii="Times New Roman" w:hAnsi="Times New Roman" w:eastAsia="宋体" w:cs="Times New Roman"/>
                <w:color w:val="E54C5E" w:themeColor="accent6"/>
                <w:sz w:val="21"/>
                <w:szCs w:val="21"/>
              </w:rPr>
            </w:pPr>
            <w:r>
              <w:rPr>
                <w:rFonts w:ascii="Times New Roman" w:hAnsi="Times New Roman" w:eastAsia="宋体" w:cs="Times New Roman"/>
                <w:color w:val="333333"/>
                <w:kern w:val="0"/>
                <w:sz w:val="21"/>
                <w:szCs w:val="21"/>
              </w:rPr>
              <w:t>旅游管理120901K</w:t>
            </w:r>
          </w:p>
        </w:tc>
      </w:tr>
    </w:tbl>
    <w:p>
      <w:pPr>
        <w:pStyle w:val="3"/>
        <w:ind w:firstLine="482"/>
        <w:rPr>
          <w:rFonts w:hint="default"/>
        </w:rPr>
      </w:pPr>
      <w:r>
        <w:t>二、考试方式</w:t>
      </w:r>
    </w:p>
    <w:p>
      <w:pPr>
        <w:widowControl/>
        <w:wordWrap w:val="0"/>
        <w:spacing w:line="240" w:lineRule="atLeast"/>
        <w:ind w:firstLine="480"/>
        <w:jc w:val="left"/>
        <w:textAlignment w:val="center"/>
        <w:rPr>
          <w:rFonts w:ascii="宋体" w:hAnsi="宋体" w:eastAsia="宋体" w:cs="宋体"/>
        </w:rPr>
      </w:pPr>
      <w:r>
        <w:rPr>
          <w:rFonts w:hint="eastAsia"/>
        </w:rPr>
        <w:t>2024年黑龙江省职业教育春季高考</w:t>
      </w:r>
      <w:r>
        <w:rPr>
          <w:rFonts w:hint="eastAsia" w:ascii="宋体" w:hAnsi="宋体" w:eastAsia="宋体" w:cs="宋体"/>
          <w:color w:val="333333"/>
          <w:kern w:val="0"/>
        </w:rPr>
        <w:t>作物生产类</w:t>
      </w:r>
      <w:r>
        <w:rPr>
          <w:rFonts w:hint="eastAsia" w:ascii="宋体" w:hAnsi="宋体" w:eastAsia="宋体" w:cs="宋体"/>
        </w:rPr>
        <w:t>专业技能考试为实际操作考试方式，考试总分为200分，实操项目随机抽取，考试时间为30分钟。</w:t>
      </w:r>
    </w:p>
    <w:p>
      <w:pPr>
        <w:pStyle w:val="3"/>
        <w:ind w:firstLine="482"/>
        <w:rPr>
          <w:rFonts w:hint="default"/>
        </w:rPr>
      </w:pPr>
      <w:r>
        <w:t>三、考试范围和要求</w:t>
      </w:r>
    </w:p>
    <w:p>
      <w:pPr>
        <w:ind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spacing w:line="360" w:lineRule="exact"/>
        <w:ind w:firstLine="482"/>
        <w:jc w:val="left"/>
        <w:rPr>
          <w:rFonts w:ascii="宋体" w:hAnsi="宋体" w:eastAsia="宋体" w:cs="宋体"/>
          <w:b/>
          <w:bCs/>
          <w:kern w:val="0"/>
        </w:rPr>
      </w:pPr>
    </w:p>
    <w:p>
      <w:pPr>
        <w:spacing w:line="360" w:lineRule="exact"/>
        <w:ind w:firstLine="482"/>
        <w:jc w:val="left"/>
        <w:rPr>
          <w:rFonts w:ascii="宋体" w:hAnsi="宋体" w:eastAsia="宋体" w:cs="宋体"/>
          <w:b/>
          <w:bCs/>
          <w:kern w:val="0"/>
        </w:rPr>
      </w:pPr>
      <w:r>
        <w:rPr>
          <w:rFonts w:hint="eastAsia" w:ascii="宋体" w:hAnsi="宋体" w:eastAsia="宋体" w:cs="宋体"/>
          <w:b/>
          <w:bCs/>
          <w:kern w:val="0"/>
        </w:rPr>
        <w:t>技能模块1  农业植物分类识别</w:t>
      </w:r>
    </w:p>
    <w:p>
      <w:pPr>
        <w:ind w:firstLine="480"/>
      </w:pPr>
    </w:p>
    <w:p>
      <w:pPr>
        <w:ind w:firstLine="480"/>
      </w:pPr>
      <w:r>
        <w:rPr>
          <w:rFonts w:hint="eastAsia"/>
        </w:rPr>
        <w:t>1.知识与技能</w:t>
      </w:r>
    </w:p>
    <w:p>
      <w:pPr>
        <w:ind w:firstLine="480"/>
      </w:pPr>
      <w:r>
        <w:t>（1）识别给定的栽培植物的科名</w:t>
      </w:r>
      <w:r>
        <w:rPr>
          <w:rFonts w:hint="eastAsia"/>
        </w:rPr>
        <w:t>。</w:t>
      </w:r>
    </w:p>
    <w:p>
      <w:pPr>
        <w:ind w:firstLine="480"/>
      </w:pPr>
      <w:r>
        <w:t>（2）</w:t>
      </w:r>
      <w:r>
        <w:rPr>
          <w:rFonts w:hint="eastAsia"/>
        </w:rPr>
        <w:t>识别给定的栽培植物的种名。</w:t>
      </w:r>
    </w:p>
    <w:p>
      <w:pPr>
        <w:ind w:firstLine="480"/>
      </w:pPr>
      <w:r>
        <w:t>（3）</w:t>
      </w:r>
      <w:r>
        <w:rPr>
          <w:rFonts w:hint="eastAsia"/>
        </w:rPr>
        <w:t>识别给定的农田杂草的科名。</w:t>
      </w:r>
    </w:p>
    <w:p>
      <w:pPr>
        <w:ind w:firstLine="480"/>
      </w:pPr>
      <w:r>
        <w:t>（4）</w:t>
      </w:r>
      <w:r>
        <w:rPr>
          <w:rFonts w:hint="eastAsia"/>
        </w:rPr>
        <w:t>识别给定的农田杂草的种名。</w:t>
      </w:r>
    </w:p>
    <w:p>
      <w:pPr>
        <w:ind w:firstLine="480"/>
      </w:pPr>
      <w:r>
        <w:t>（5）</w:t>
      </w:r>
      <w:r>
        <w:rPr>
          <w:rFonts w:hint="eastAsia"/>
        </w:rPr>
        <w:t>说明杂草防治方法</w:t>
      </w:r>
    </w:p>
    <w:p>
      <w:pPr>
        <w:ind w:firstLine="480"/>
      </w:pPr>
      <w:r>
        <w:rPr>
          <w:rFonts w:hint="eastAsia"/>
        </w:rPr>
        <w:t>2.设备与材料</w:t>
      </w:r>
    </w:p>
    <w:p>
      <w:pPr>
        <w:ind w:firstLine="480"/>
      </w:pPr>
      <w:r>
        <w:t>（1）</w:t>
      </w:r>
      <w:r>
        <w:rPr>
          <w:rFonts w:hint="eastAsia"/>
        </w:rPr>
        <w:t>放大镜。</w:t>
      </w:r>
    </w:p>
    <w:p>
      <w:pPr>
        <w:ind w:firstLine="480"/>
      </w:pPr>
      <w:r>
        <w:t>（2）</w:t>
      </w:r>
      <w:r>
        <w:rPr>
          <w:rFonts w:hint="eastAsia"/>
        </w:rPr>
        <w:t>镊子。</w:t>
      </w:r>
    </w:p>
    <w:p>
      <w:pPr>
        <w:ind w:firstLine="480"/>
        <w:jc w:val="left"/>
        <w:rPr>
          <w:rFonts w:ascii="方正书宋简体" w:hAnsi="方正书宋简体" w:eastAsia="方正书宋简体" w:cs="方正书宋简体"/>
        </w:rPr>
      </w:pPr>
      <w:r>
        <w:t>（3）</w:t>
      </w:r>
      <w:r>
        <w:rPr>
          <w:rFonts w:hint="eastAsia"/>
        </w:rPr>
        <w:t>栽培植物标本、实物或图片（</w:t>
      </w:r>
      <w:r>
        <w:rPr>
          <w:rFonts w:hint="eastAsia" w:ascii="方正书宋简体" w:hAnsi="方正书宋简体" w:eastAsia="方正书宋简体" w:cs="方正书宋简体"/>
        </w:rPr>
        <w:t>小麦、大麦、燕麦、稻、玉米、高粱、谷子、大豆、豌豆、小豆、绿豆、蚕豆、马铃薯、大麻、苘麻、亚麻、花生、芝麻、向日葵、甜菜、烟草、草木樨）。</w:t>
      </w:r>
    </w:p>
    <w:p>
      <w:pPr>
        <w:ind w:firstLine="480"/>
        <w:jc w:val="left"/>
        <w:rPr>
          <w:rFonts w:ascii="方正书宋简体" w:hAnsi="方正书宋简体" w:eastAsia="方正书宋简体" w:cs="方正书宋简体"/>
        </w:rPr>
      </w:pPr>
      <w:r>
        <w:rPr>
          <w:rFonts w:hint="eastAsia" w:ascii="方正书宋简体" w:hAnsi="方正书宋简体" w:eastAsia="方正书宋简体" w:cs="方正书宋简体"/>
        </w:rPr>
        <w:t>北方常见园艺植物标本、实物或图片（羽衣甘蓝、辣椒、茄子、番茄、马铃薯、菜豆、芹菜、韭菜、生菜、香菜、黄瓜、南瓜、银中杨、白桦、紫叶李、榆叶梅、旱垂柳、樟子松、山楂、长寿花、仙客来、月季、矮牵牛、一串红、三色堇、鼠尾草、四季秋海棠、君子兰、仙人掌、栀子、红掌、百合）。</w:t>
      </w:r>
    </w:p>
    <w:p>
      <w:pPr>
        <w:ind w:firstLine="480"/>
      </w:pPr>
      <w:r>
        <w:t>（4）</w:t>
      </w:r>
      <w:r>
        <w:rPr>
          <w:rFonts w:hint="eastAsia"/>
        </w:rPr>
        <w:t>杂草标本、实物或图片</w:t>
      </w:r>
      <w:r>
        <w:rPr>
          <w:rFonts w:hint="eastAsia" w:ascii="方正书宋简体" w:hAnsi="方正书宋简体" w:eastAsia="方正书宋简体" w:cs="方正书宋简体"/>
        </w:rPr>
        <w:t>（问荆、狗尾草、鸭舌草、稗、刺菜、苦卖菜、反枝苋、眼子菜、芦苇、苍耳、蒲公英、葎草、车前草、马唐、龙葵、野慈姑、牵牛花、藜、萹蓄、水蓼、野燕麦、苍耳、马齿苋、猪毛菜）。</w:t>
      </w:r>
    </w:p>
    <w:p>
      <w:pPr>
        <w:ind w:firstLine="480"/>
      </w:pPr>
      <w:r>
        <w:rPr>
          <w:rFonts w:hint="eastAsia"/>
        </w:rPr>
        <w:t>3.操作规范要求</w:t>
      </w:r>
    </w:p>
    <w:p>
      <w:pPr>
        <w:ind w:firstLine="480"/>
      </w:pPr>
      <w:r>
        <w:t>（1）</w:t>
      </w:r>
      <w:r>
        <w:rPr>
          <w:rFonts w:hint="eastAsia"/>
        </w:rPr>
        <w:t>考生需要掌握基本的植物分类学知识，包括植物的分类等级、分类原则等。</w:t>
      </w:r>
    </w:p>
    <w:p>
      <w:pPr>
        <w:ind w:firstLine="480"/>
      </w:pPr>
      <w:r>
        <w:t>（2）</w:t>
      </w:r>
      <w:r>
        <w:rPr>
          <w:rFonts w:hint="eastAsia"/>
        </w:rPr>
        <w:t>考生应熟悉植物分类识别的常用技巧，了解不同植物、杂草科属的区别，准确识别植物、杂草的科属，能够掌握杂草防治方法。</w:t>
      </w:r>
    </w:p>
    <w:p>
      <w:pPr>
        <w:ind w:firstLine="480"/>
      </w:pPr>
      <w:r>
        <w:t>（3）</w:t>
      </w:r>
      <w:r>
        <w:rPr>
          <w:rFonts w:hint="eastAsia"/>
        </w:rPr>
        <w:t>考生需熟练掌握数据的整理和分析能力，包括识别和记录植物、杂草的特征数据、整理等。</w:t>
      </w:r>
    </w:p>
    <w:p>
      <w:pPr>
        <w:ind w:firstLine="480"/>
      </w:pPr>
      <w:r>
        <w:rPr>
          <w:rFonts w:hint="eastAsia"/>
        </w:rPr>
        <w:t>（4）考核过程中，考核材料因考生原因受到破损等</w:t>
      </w:r>
      <w:r>
        <w:rPr>
          <w:rFonts w:hint="eastAsia"/>
          <w:szCs w:val="32"/>
        </w:rPr>
        <w:t>不予重新发放</w:t>
      </w:r>
      <w:r>
        <w:rPr>
          <w:rFonts w:hint="eastAsia"/>
        </w:rPr>
        <w:t>。</w:t>
      </w:r>
    </w:p>
    <w:p>
      <w:pPr>
        <w:pStyle w:val="3"/>
        <w:ind w:firstLine="482"/>
        <w:rPr>
          <w:rFonts w:hint="default" w:cs="宋体"/>
          <w:szCs w:val="24"/>
        </w:rPr>
      </w:pPr>
      <w:r>
        <w:rPr>
          <w:rFonts w:cs="宋体"/>
          <w:szCs w:val="24"/>
        </w:rPr>
        <w:t>技能模块2  生物</w:t>
      </w:r>
      <w:r>
        <w:rPr>
          <w:szCs w:val="24"/>
        </w:rPr>
        <w:t>显微镜使用</w:t>
      </w:r>
    </w:p>
    <w:p>
      <w:pPr>
        <w:ind w:firstLine="480"/>
      </w:pPr>
      <w:r>
        <w:rPr>
          <w:rFonts w:hint="eastAsia"/>
        </w:rPr>
        <w:t>1. 知识与技能</w:t>
      </w:r>
    </w:p>
    <w:p>
      <w:pPr>
        <w:ind w:firstLine="480"/>
      </w:pPr>
      <w:r>
        <w:rPr>
          <w:rFonts w:hint="eastAsia"/>
        </w:rPr>
        <w:t>（1）熟悉生物显微镜的结构和各个部件的功能，并能正确操作调节光源、镜头等。</w:t>
      </w:r>
    </w:p>
    <w:p>
      <w:pPr>
        <w:ind w:firstLine="480"/>
      </w:pPr>
      <w:r>
        <w:rPr>
          <w:rFonts w:hint="eastAsia"/>
        </w:rPr>
        <w:t>（2）根据实验要求，正确制备生物样品，如组织切片、细胞涂片等，保证样品的质量和适合显微镜观察。</w:t>
      </w:r>
    </w:p>
    <w:p>
      <w:pPr>
        <w:ind w:firstLine="480"/>
      </w:pPr>
      <w:r>
        <w:rPr>
          <w:rFonts w:hint="eastAsia"/>
        </w:rPr>
        <w:t xml:space="preserve">（3）根据观察需求，选择合适的物镜，并通过调焦和调节镜筒位置等操作，使样品清晰地显现在视野里。 </w:t>
      </w:r>
    </w:p>
    <w:p>
      <w:pPr>
        <w:ind w:firstLine="480"/>
      </w:pPr>
      <w:r>
        <w:rPr>
          <w:rFonts w:hint="eastAsia"/>
        </w:rPr>
        <w:t xml:space="preserve">（4）通过调节光源强度、对焦、光圈等，优化观察条件，使样品能够以最佳的清晰度和对比度显示。 </w:t>
      </w:r>
    </w:p>
    <w:p>
      <w:pPr>
        <w:ind w:firstLine="480"/>
      </w:pPr>
      <w:r>
        <w:rPr>
          <w:rFonts w:hint="eastAsia"/>
        </w:rPr>
        <w:t>（5）使用显微镜配套的测量仪器，如目镜刻度盘、物镜刻度盘等，对所观察到的结构进行测量，并能准确记录观察结果和数据。</w:t>
      </w:r>
    </w:p>
    <w:p>
      <w:pPr>
        <w:ind w:firstLine="480"/>
      </w:pPr>
      <w:r>
        <w:rPr>
          <w:rFonts w:hint="eastAsia"/>
        </w:rPr>
        <w:t xml:space="preserve">（6）了解生物显微镜的日常维护方法，包括清洁物镜、镜头、调节器等，并能按照正确的步骤进行维护和保养。 </w:t>
      </w:r>
    </w:p>
    <w:p>
      <w:pPr>
        <w:ind w:firstLine="480"/>
      </w:pPr>
      <w:r>
        <w:rPr>
          <w:rFonts w:hint="eastAsia"/>
        </w:rPr>
        <w:t>（</w:t>
      </w:r>
      <w:r>
        <w:t>7</w:t>
      </w:r>
      <w:r>
        <w:rPr>
          <w:rFonts w:hint="eastAsia"/>
        </w:rPr>
        <w:t>）在操作过程中，注意安全规范，如避免镜头损坏、观察时保持适当的距离和角度，不随意调整或拆卸仪器等。</w:t>
      </w:r>
    </w:p>
    <w:p>
      <w:pPr>
        <w:ind w:firstLine="480"/>
      </w:pPr>
      <w:r>
        <w:rPr>
          <w:rFonts w:hint="eastAsia"/>
        </w:rPr>
        <w:t xml:space="preserve">2.设备与材料 </w:t>
      </w:r>
    </w:p>
    <w:p>
      <w:pPr>
        <w:ind w:firstLine="480"/>
      </w:pPr>
      <w:r>
        <w:rPr>
          <w:rFonts w:hint="eastAsia"/>
        </w:rPr>
        <w:t>（1）</w:t>
      </w:r>
      <w:r>
        <w:rPr>
          <w:rFonts w:hint="eastAsia" w:ascii="方正书宋简体" w:hAnsi="方正书宋简体" w:eastAsia="方正书宋简体" w:cs="方正书宋简体"/>
        </w:rPr>
        <w:t>显微镜</w:t>
      </w:r>
      <w:r>
        <w:rPr>
          <w:rFonts w:hint="eastAsia"/>
        </w:rPr>
        <w:t>。</w:t>
      </w:r>
    </w:p>
    <w:p>
      <w:pPr>
        <w:ind w:firstLine="480"/>
      </w:pPr>
      <w:r>
        <w:rPr>
          <w:rFonts w:hint="eastAsia"/>
        </w:rPr>
        <w:t>（2）</w:t>
      </w:r>
      <w:r>
        <w:rPr>
          <w:rFonts w:hint="eastAsia" w:ascii="方正书宋简体" w:hAnsi="方正书宋简体" w:eastAsia="方正书宋简体" w:cs="方正书宋简体"/>
        </w:rPr>
        <w:t>玻片：菊叶表皮装片、洋葱根尖纵切、芹菜叶柄横切、大丽花叶柄横切、南瓜茎纵切、洋葱叶表皮装片、银杏幼果横切、植物根横切片、植物茎横切片、植物叶横切片等</w:t>
      </w:r>
      <w:r>
        <w:rPr>
          <w:rFonts w:hint="eastAsia"/>
        </w:rPr>
        <w:t>。</w:t>
      </w:r>
    </w:p>
    <w:p>
      <w:pPr>
        <w:ind w:firstLine="480"/>
      </w:pPr>
      <w:r>
        <w:rPr>
          <w:rFonts w:hint="eastAsia"/>
        </w:rPr>
        <w:t xml:space="preserve">3.操作规范要求 </w:t>
      </w:r>
    </w:p>
    <w:p>
      <w:pPr>
        <w:ind w:firstLine="480"/>
      </w:pPr>
      <w:r>
        <w:rPr>
          <w:rFonts w:hint="eastAsia"/>
        </w:rPr>
        <w:t>（1）操作生物显微镜需要遵守实验室卫生安全规定，不得随意丢弃有害物质，如使用过的载玻片和吸管等。</w:t>
      </w:r>
    </w:p>
    <w:p>
      <w:pPr>
        <w:ind w:firstLine="480"/>
      </w:pPr>
      <w:r>
        <w:rPr>
          <w:rFonts w:hint="eastAsia"/>
        </w:rPr>
        <w:t>（2）考生需要在考试前熟悉生物显微镜的各项操作。</w:t>
      </w:r>
    </w:p>
    <w:p>
      <w:pPr>
        <w:ind w:firstLine="480"/>
      </w:pPr>
      <w:r>
        <w:rPr>
          <w:rFonts w:hint="eastAsia"/>
        </w:rPr>
        <w:t>（3）观察样本时，需要仔细观察目前是否清晰，若出现不清晰或变形情况，需要及时调整物镜、横移夹及焦距等操作，以确保清晰可见。</w:t>
      </w:r>
    </w:p>
    <w:p>
      <w:pPr>
        <w:ind w:firstLine="480"/>
      </w:pPr>
      <w:r>
        <w:rPr>
          <w:rFonts w:hint="eastAsia"/>
        </w:rPr>
        <w:t>（4）根据题目要求，选择合适的物镜放大倍率。</w:t>
      </w:r>
    </w:p>
    <w:p>
      <w:pPr>
        <w:ind w:firstLine="480"/>
      </w:pPr>
      <w:r>
        <w:rPr>
          <w:rFonts w:hint="eastAsia"/>
        </w:rPr>
        <w:t>（5）考生不得在试件上作任何标记。</w:t>
      </w:r>
    </w:p>
    <w:p>
      <w:pPr>
        <w:ind w:firstLine="480"/>
      </w:pPr>
      <w:r>
        <w:rPr>
          <w:rFonts w:hint="eastAsia"/>
        </w:rPr>
        <w:t>（6）观考核过程中，考核材料因考生原因受到破损等</w:t>
      </w:r>
      <w:r>
        <w:rPr>
          <w:rFonts w:hint="eastAsia"/>
          <w:szCs w:val="32"/>
        </w:rPr>
        <w:t>不予重新发放</w:t>
      </w:r>
      <w:r>
        <w:rPr>
          <w:rFonts w:hint="eastAsia"/>
        </w:rPr>
        <w:t>。</w:t>
      </w:r>
    </w:p>
    <w:p>
      <w:pPr>
        <w:ind w:firstLine="480"/>
      </w:pPr>
      <w:r>
        <w:rPr>
          <w:rFonts w:hint="eastAsia"/>
        </w:rPr>
        <w:t xml:space="preserve">（7）考生使用后，需要仔细清洁生物显微镜设备。  </w:t>
      </w:r>
    </w:p>
    <w:p>
      <w:pPr>
        <w:pStyle w:val="3"/>
        <w:ind w:firstLine="482"/>
        <w:rPr>
          <w:rFonts w:hint="default"/>
          <w:szCs w:val="24"/>
        </w:rPr>
      </w:pPr>
      <w:r>
        <w:rPr>
          <w:rFonts w:cs="宋体"/>
          <w:szCs w:val="24"/>
        </w:rPr>
        <w:t>技能模块3  农</w:t>
      </w:r>
      <w:r>
        <w:rPr>
          <w:szCs w:val="24"/>
        </w:rPr>
        <w:t>作物病虫害识别</w:t>
      </w:r>
    </w:p>
    <w:p>
      <w:pPr>
        <w:ind w:firstLine="480"/>
      </w:pPr>
      <w:r>
        <w:rPr>
          <w:rFonts w:hint="eastAsia"/>
        </w:rPr>
        <w:t>1.知识与技能</w:t>
      </w:r>
    </w:p>
    <w:p>
      <w:pPr>
        <w:ind w:firstLine="480"/>
      </w:pPr>
      <w:r>
        <w:rPr>
          <w:rFonts w:hint="eastAsia"/>
        </w:rPr>
        <w:t>（1）能正确的选用观察工具。</w:t>
      </w:r>
    </w:p>
    <w:p>
      <w:pPr>
        <w:ind w:firstLine="480"/>
      </w:pPr>
      <w:r>
        <w:rPr>
          <w:rFonts w:hint="eastAsia"/>
        </w:rPr>
        <w:t xml:space="preserve">（2）能正确的识别是病害还是虫害，病害类型是为侵染性病害还是生理性病害。 </w:t>
      </w:r>
    </w:p>
    <w:p>
      <w:pPr>
        <w:ind w:firstLine="480"/>
      </w:pPr>
      <w:r>
        <w:rPr>
          <w:rFonts w:hint="eastAsia"/>
        </w:rPr>
        <w:t>（3）能正确的识别病害、虫害的症状和类型。</w:t>
      </w:r>
    </w:p>
    <w:p>
      <w:pPr>
        <w:ind w:firstLine="480"/>
      </w:pPr>
      <w:r>
        <w:rPr>
          <w:rFonts w:hint="eastAsia"/>
        </w:rPr>
        <w:t xml:space="preserve">（4）能正确答出病害、虫害的名称。 </w:t>
      </w:r>
    </w:p>
    <w:p>
      <w:pPr>
        <w:ind w:firstLine="480"/>
      </w:pPr>
      <w:r>
        <w:rPr>
          <w:rFonts w:hint="eastAsia"/>
        </w:rPr>
        <w:t>（</w:t>
      </w:r>
      <w:r>
        <w:t>5</w:t>
      </w:r>
      <w:r>
        <w:rPr>
          <w:rFonts w:hint="eastAsia"/>
        </w:rPr>
        <w:t>）能正确的识别害虫外部形态特征，包括的头部、胸部、腹部特征。</w:t>
      </w:r>
    </w:p>
    <w:p>
      <w:pPr>
        <w:ind w:firstLine="480"/>
      </w:pPr>
      <w:r>
        <w:rPr>
          <w:rFonts w:hint="eastAsia"/>
        </w:rPr>
        <w:t>（</w:t>
      </w:r>
      <w:r>
        <w:t>6</w:t>
      </w:r>
      <w:r>
        <w:rPr>
          <w:rFonts w:hint="eastAsia"/>
        </w:rPr>
        <w:t xml:space="preserve">）能正确答出害虫目名、种名。 </w:t>
      </w:r>
    </w:p>
    <w:p>
      <w:pPr>
        <w:ind w:firstLine="480"/>
      </w:pPr>
      <w:r>
        <w:rPr>
          <w:rFonts w:hint="eastAsia"/>
        </w:rPr>
        <w:t xml:space="preserve">2.设备与材料 </w:t>
      </w:r>
    </w:p>
    <w:p>
      <w:pPr>
        <w:ind w:firstLine="480"/>
      </w:pPr>
      <w:r>
        <w:rPr>
          <w:rFonts w:hint="eastAsia"/>
        </w:rPr>
        <w:t>（1）显微镜、放大镜、镊子、载玻片、盖玻片、蒸馏水、滴管、挑针。</w:t>
      </w:r>
    </w:p>
    <w:p>
      <w:pPr>
        <w:ind w:firstLine="480"/>
      </w:pPr>
      <w:r>
        <w:rPr>
          <w:rFonts w:hint="eastAsia"/>
        </w:rPr>
        <w:t>（2）植物病害症状类型的病害标本、</w:t>
      </w:r>
      <w:bookmarkStart w:id="0" w:name="_Hlk156589558"/>
      <w:r>
        <w:rPr>
          <w:rFonts w:hint="eastAsia"/>
        </w:rPr>
        <w:t>实物或图片</w:t>
      </w:r>
      <w:bookmarkEnd w:id="0"/>
      <w:r>
        <w:rPr>
          <w:rFonts w:hint="eastAsia"/>
        </w:rPr>
        <w:t>（玉米大小斑病、玉米丝黑穗病、大豆霜霉病、大豆花叶病、大豆灰斑病、大豆细菌性斑点病、小麦赤霉病、小麦锈病、小麦白粉病、水稻稻瘟病、水稻细菌性条斑病、水稻白叶枯病、水稻赤枯病、马铃薯青皮病、马铃薯晚疫病等）。</w:t>
      </w:r>
    </w:p>
    <w:p>
      <w:pPr>
        <w:ind w:firstLine="480"/>
      </w:pPr>
      <w:r>
        <w:rPr>
          <w:rFonts w:hint="eastAsia"/>
        </w:rPr>
        <w:t xml:space="preserve">园艺植物病害症状类型的病害标本、实物或图片（黄瓜白粉病、黄瓜霜霉病、番茄灰霉病、辣椒炭疽病、菜豆锈病、大白菜软腐病、大白菜干烧心病、番茄脐腐病、番茄病毒病、辣椒日灼病、月季黑斑病、君子兰软腐病、牡丹炭疽病、仙客来灰霉病、菊花褐斑病、唐菖蒲花叶病、马铃薯晚疫病等、苹果腐烂病、梨树锈病、葡萄黑痘病等）。 </w:t>
      </w:r>
    </w:p>
    <w:p>
      <w:pPr>
        <w:ind w:firstLine="480"/>
      </w:pPr>
      <w:r>
        <w:rPr>
          <w:rFonts w:hint="eastAsia"/>
        </w:rPr>
        <w:t>（3）植物害虫标本、实物或图片（地老虎类、蛴螬类、金针虫类、蝼蛄、二化螟、稻负泥虫、稻小潜叶蝇、粘虫、玉米螟、土蝗、蚜虫、大豆食心虫、草地螟、黑绒金龟甲、马铃薯瓢虫、菜蛾、棉铃虫、蚧壳虫、粉虱等）。</w:t>
      </w:r>
    </w:p>
    <w:p>
      <w:pPr>
        <w:ind w:firstLine="480"/>
      </w:pPr>
      <w:r>
        <w:rPr>
          <w:rFonts w:hint="eastAsia"/>
        </w:rPr>
        <w:t xml:space="preserve">3.操作规范要求 </w:t>
      </w:r>
    </w:p>
    <w:p>
      <w:pPr>
        <w:ind w:firstLine="480"/>
      </w:pPr>
      <w:r>
        <w:t>（</w:t>
      </w:r>
      <w:r>
        <w:rPr>
          <w:rFonts w:hint="eastAsia"/>
        </w:rPr>
        <w:t>1</w:t>
      </w:r>
      <w:r>
        <w:t>）</w:t>
      </w:r>
      <w:r>
        <w:rPr>
          <w:rFonts w:hint="eastAsia"/>
        </w:rPr>
        <w:t>考生需要仔细观察植物叶片、茎干、花、果实等部位的变化，根据症状和发病具体情况进行判断。</w:t>
      </w:r>
    </w:p>
    <w:p>
      <w:pPr>
        <w:ind w:firstLine="480"/>
      </w:pPr>
      <w:r>
        <w:t>（</w:t>
      </w:r>
      <w:r>
        <w:rPr>
          <w:rFonts w:hint="eastAsia"/>
        </w:rPr>
        <w:t>2</w:t>
      </w:r>
      <w:r>
        <w:t>）</w:t>
      </w:r>
      <w:r>
        <w:rPr>
          <w:rFonts w:hint="eastAsia"/>
        </w:rPr>
        <w:t>考生需掌握常见的植物病害、虫害的特征及其相应的防治措施。</w:t>
      </w:r>
    </w:p>
    <w:p>
      <w:pPr>
        <w:ind w:firstLine="480"/>
      </w:pPr>
      <w:r>
        <w:t>（</w:t>
      </w:r>
      <w:r>
        <w:rPr>
          <w:rFonts w:hint="eastAsia"/>
        </w:rPr>
        <w:t>3</w:t>
      </w:r>
      <w:r>
        <w:t>）</w:t>
      </w:r>
      <w:r>
        <w:rPr>
          <w:rFonts w:hint="eastAsia"/>
        </w:rPr>
        <w:t>考生应熟悉常用的病原体和生物学特性，能够进行必要的病原鉴定。</w:t>
      </w:r>
    </w:p>
    <w:p>
      <w:pPr>
        <w:ind w:firstLine="480"/>
      </w:pPr>
      <w:r>
        <w:t>（</w:t>
      </w:r>
      <w:r>
        <w:rPr>
          <w:rFonts w:hint="eastAsia"/>
        </w:rPr>
        <w:t>4</w:t>
      </w:r>
      <w:r>
        <w:t>）</w:t>
      </w:r>
      <w:r>
        <w:rPr>
          <w:rFonts w:hint="eastAsia"/>
        </w:rPr>
        <w:t>考生需要详细记录实验所用参数、检测结果和参考资料等，确保实验记录的准确性和完整性。</w:t>
      </w:r>
    </w:p>
    <w:p>
      <w:pPr>
        <w:ind w:firstLine="480"/>
      </w:pPr>
      <w:r>
        <w:rPr>
          <w:rFonts w:hint="eastAsia"/>
        </w:rPr>
        <w:t>（5）考核过程中，考核材料因考生原因受到破损等</w:t>
      </w:r>
      <w:r>
        <w:rPr>
          <w:rFonts w:hint="eastAsia"/>
          <w:szCs w:val="32"/>
        </w:rPr>
        <w:t>不予重新发放</w:t>
      </w:r>
      <w:r>
        <w:rPr>
          <w:rFonts w:hint="eastAsia"/>
        </w:rPr>
        <w:t>。</w:t>
      </w:r>
    </w:p>
    <w:p>
      <w:pPr>
        <w:spacing w:line="360" w:lineRule="exact"/>
        <w:ind w:firstLine="482"/>
        <w:jc w:val="left"/>
        <w:rPr>
          <w:rFonts w:ascii="宋体" w:hAnsi="宋体" w:eastAsia="宋体" w:cs="宋体"/>
          <w:b/>
          <w:bCs/>
          <w:kern w:val="0"/>
        </w:rPr>
      </w:pPr>
    </w:p>
    <w:p>
      <w:pPr>
        <w:spacing w:line="360" w:lineRule="exact"/>
        <w:ind w:firstLine="482"/>
        <w:jc w:val="left"/>
        <w:rPr>
          <w:rFonts w:ascii="宋体" w:hAnsi="宋体" w:eastAsia="宋体" w:cs="宋体"/>
          <w:b/>
          <w:bCs/>
          <w:kern w:val="0"/>
        </w:rPr>
      </w:pPr>
      <w:r>
        <w:rPr>
          <w:rFonts w:hint="eastAsia" w:ascii="宋体" w:hAnsi="宋体" w:eastAsia="宋体" w:cs="宋体"/>
          <w:b/>
          <w:bCs/>
          <w:kern w:val="0"/>
        </w:rPr>
        <w:t>技能模块</w:t>
      </w:r>
      <w:r>
        <w:rPr>
          <w:rFonts w:ascii="宋体" w:hAnsi="宋体" w:eastAsia="宋体" w:cs="宋体"/>
          <w:b/>
          <w:bCs/>
          <w:kern w:val="0"/>
        </w:rPr>
        <w:t>4</w:t>
      </w:r>
      <w:r>
        <w:rPr>
          <w:rFonts w:hint="eastAsia" w:ascii="宋体" w:hAnsi="宋体" w:eastAsia="宋体" w:cs="宋体"/>
          <w:b/>
          <w:bCs/>
          <w:kern w:val="0"/>
        </w:rPr>
        <w:t xml:space="preserve">  喷雾器使用技术</w:t>
      </w:r>
    </w:p>
    <w:p>
      <w:pPr>
        <w:ind w:firstLine="480"/>
      </w:pPr>
    </w:p>
    <w:p>
      <w:pPr>
        <w:ind w:firstLine="480"/>
      </w:pPr>
      <w:r>
        <w:rPr>
          <w:rFonts w:hint="eastAsia"/>
        </w:rPr>
        <w:t>1.知识与技能</w:t>
      </w:r>
    </w:p>
    <w:p>
      <w:pPr>
        <w:ind w:firstLine="480"/>
      </w:pPr>
      <w:r>
        <w:t>（1）检查喷雾器的各个部件是否完好，进行必要的清洁和调整</w:t>
      </w:r>
      <w:r>
        <w:rPr>
          <w:rFonts w:hint="eastAsia"/>
        </w:rPr>
        <w:t>。</w:t>
      </w:r>
    </w:p>
    <w:p>
      <w:pPr>
        <w:ind w:firstLine="480"/>
      </w:pPr>
      <w:r>
        <w:t>（2）</w:t>
      </w:r>
      <w:r>
        <w:rPr>
          <w:rFonts w:hint="eastAsia"/>
        </w:rPr>
        <w:t>根据农药使用说明书上的配制浓度，计算需要使用的药液量。</w:t>
      </w:r>
    </w:p>
    <w:p>
      <w:pPr>
        <w:ind w:firstLine="480"/>
      </w:pPr>
      <w:r>
        <w:t>（3）</w:t>
      </w:r>
      <w:r>
        <w:rPr>
          <w:rFonts w:hint="eastAsia"/>
        </w:rPr>
        <w:t>按照规定的药液配方和浓度，将农药和适量的水混合搅拌，得到所需的药液。</w:t>
      </w:r>
    </w:p>
    <w:p>
      <w:pPr>
        <w:ind w:firstLine="480"/>
      </w:pPr>
      <w:r>
        <w:t>（4）</w:t>
      </w:r>
      <w:r>
        <w:rPr>
          <w:rFonts w:hint="eastAsia"/>
        </w:rPr>
        <w:t>将配制好的药液倒入喷雾器的容器中，正确调整喷雾器的喷雾角度和喷雾强度，进行喷雾作业。</w:t>
      </w:r>
    </w:p>
    <w:p>
      <w:pPr>
        <w:ind w:firstLine="480"/>
      </w:pPr>
      <w:r>
        <w:t>（5）</w:t>
      </w:r>
      <w:r>
        <w:rPr>
          <w:rFonts w:hint="eastAsia"/>
        </w:rPr>
        <w:t>喷雾作业结束后，对喷雾器进行清洗，彻底清除残留的农药。</w:t>
      </w:r>
    </w:p>
    <w:p>
      <w:pPr>
        <w:ind w:firstLine="480"/>
      </w:pPr>
      <w:r>
        <w:t>（6）</w:t>
      </w:r>
      <w:r>
        <w:rPr>
          <w:rFonts w:hint="eastAsia"/>
        </w:rPr>
        <w:t>在喷雾作业过程中，合理使用农药、遵守相关安全操作规程，保护环境和人员安全。</w:t>
      </w:r>
    </w:p>
    <w:p>
      <w:pPr>
        <w:ind w:firstLine="480"/>
      </w:pPr>
      <w:r>
        <w:rPr>
          <w:rFonts w:hint="eastAsia"/>
        </w:rPr>
        <w:t>2.设备与材料</w:t>
      </w:r>
    </w:p>
    <w:p>
      <w:pPr>
        <w:ind w:firstLine="480"/>
      </w:pPr>
      <w:r>
        <w:rPr>
          <w:rFonts w:hint="eastAsia"/>
        </w:rPr>
        <w:t>喷雾器、量筒、塑料桶、农药、秤。</w:t>
      </w:r>
    </w:p>
    <w:p>
      <w:pPr>
        <w:ind w:firstLine="480"/>
      </w:pPr>
      <w:r>
        <w:rPr>
          <w:rFonts w:hint="eastAsia"/>
        </w:rPr>
        <w:t>3.操作规范要求</w:t>
      </w:r>
    </w:p>
    <w:p>
      <w:pPr>
        <w:ind w:firstLine="480"/>
      </w:pPr>
      <w:r>
        <w:t>（1）</w:t>
      </w:r>
      <w:r>
        <w:rPr>
          <w:rFonts w:hint="eastAsia"/>
        </w:rPr>
        <w:t>考生需要在考核前熟悉所用喷雾器的型号、部件和操作方式。</w:t>
      </w:r>
    </w:p>
    <w:p>
      <w:pPr>
        <w:ind w:firstLine="480"/>
      </w:pPr>
      <w:r>
        <w:t>（2）</w:t>
      </w:r>
      <w:r>
        <w:rPr>
          <w:rFonts w:hint="eastAsia"/>
        </w:rPr>
        <w:t>考生应遵守相关的安全操作规定，并佩戴适当的个人防护装备，如手套、护目镜等。</w:t>
      </w:r>
    </w:p>
    <w:p>
      <w:pPr>
        <w:ind w:firstLine="480"/>
      </w:pPr>
      <w:r>
        <w:t>（3）</w:t>
      </w:r>
      <w:r>
        <w:rPr>
          <w:rFonts w:hint="eastAsia"/>
        </w:rPr>
        <w:t>考生需要掌握调节喷雾器的喷雾量、喷雾角度、喷雾压力等关键技术。</w:t>
      </w:r>
    </w:p>
    <w:p>
      <w:pPr>
        <w:ind w:firstLine="480"/>
      </w:pPr>
      <w:r>
        <w:t>（4）</w:t>
      </w:r>
      <w:r>
        <w:rPr>
          <w:rFonts w:hint="eastAsia"/>
        </w:rPr>
        <w:t>考生应了解不同喷雾剂的特性和用途，并正确搭配喷雾剂。</w:t>
      </w:r>
    </w:p>
    <w:p>
      <w:pPr>
        <w:ind w:firstLine="480"/>
      </w:pPr>
      <w:r>
        <w:t>（5）</w:t>
      </w:r>
      <w:r>
        <w:rPr>
          <w:rFonts w:hint="eastAsia"/>
        </w:rPr>
        <w:t>考生需要掌握喷雾器的喷雾范围和覆盖度。</w:t>
      </w:r>
    </w:p>
    <w:p>
      <w:pPr>
        <w:ind w:firstLine="480"/>
      </w:pPr>
      <w:r>
        <w:t>（6）</w:t>
      </w:r>
      <w:r>
        <w:rPr>
          <w:rFonts w:hint="eastAsia"/>
        </w:rPr>
        <w:t>考生应了解喷雾器的日常维护和保养方法。</w:t>
      </w:r>
    </w:p>
    <w:p>
      <w:pPr>
        <w:ind w:firstLine="480"/>
      </w:pPr>
      <w:r>
        <w:rPr>
          <w:rFonts w:hint="eastAsia"/>
        </w:rPr>
        <w:t>（7）考核过程中，考核材料因考生原因受到破损等</w:t>
      </w:r>
      <w:r>
        <w:rPr>
          <w:rFonts w:hint="eastAsia"/>
          <w:szCs w:val="32"/>
        </w:rPr>
        <w:t>不予重新发放</w:t>
      </w:r>
      <w:r>
        <w:rPr>
          <w:rFonts w:hint="eastAsia"/>
        </w:rPr>
        <w:t>。</w:t>
      </w:r>
    </w:p>
    <w:p>
      <w:pPr>
        <w:ind w:firstLine="480"/>
        <w:rPr>
          <w:rFonts w:ascii="黑体" w:hAnsi="黑体" w:eastAsia="黑体" w:cs="黑体"/>
          <w:szCs w:val="32"/>
        </w:rPr>
      </w:pPr>
    </w:p>
    <w:p>
      <w:pPr>
        <w:pStyle w:val="3"/>
        <w:ind w:firstLine="482"/>
        <w:rPr>
          <w:rFonts w:hint="default" w:cs="宋体"/>
          <w:szCs w:val="24"/>
        </w:rPr>
      </w:pPr>
      <w:r>
        <w:rPr>
          <w:rFonts w:cs="宋体"/>
          <w:szCs w:val="24"/>
        </w:rPr>
        <w:t>技能模块</w:t>
      </w:r>
      <w:r>
        <w:rPr>
          <w:rFonts w:hint="default" w:cs="宋体"/>
          <w:szCs w:val="24"/>
        </w:rPr>
        <w:t>5</w:t>
      </w:r>
      <w:r>
        <w:rPr>
          <w:rFonts w:cs="宋体"/>
          <w:szCs w:val="24"/>
        </w:rPr>
        <w:t xml:space="preserve">  </w:t>
      </w:r>
      <w:r>
        <w:rPr>
          <w:rFonts w:ascii="方正书宋简体" w:hAnsi="方正书宋简体" w:eastAsia="方正书宋简体" w:cs="方正书宋简体"/>
          <w:szCs w:val="24"/>
        </w:rPr>
        <w:t>常用化学肥料定性鉴定</w:t>
      </w:r>
    </w:p>
    <w:p>
      <w:pPr>
        <w:ind w:firstLine="480"/>
      </w:pPr>
      <w:r>
        <w:rPr>
          <w:rFonts w:hint="eastAsia"/>
        </w:rPr>
        <w:t>1.知识与技能</w:t>
      </w:r>
    </w:p>
    <w:p>
      <w:pPr>
        <w:ind w:firstLine="480"/>
      </w:pPr>
      <w:r>
        <w:rPr>
          <w:rFonts w:hint="eastAsia"/>
        </w:rPr>
        <w:t>（1）能够评估化肥的颜色、形状、颗粒度、压实度等特征。</w:t>
      </w:r>
    </w:p>
    <w:p>
      <w:pPr>
        <w:ind w:firstLine="480"/>
      </w:pPr>
      <w:r>
        <w:rPr>
          <w:rFonts w:hint="eastAsia"/>
        </w:rPr>
        <w:t>（2）能够观察肥料在水中的溶解度。</w:t>
      </w:r>
    </w:p>
    <w:p>
      <w:pPr>
        <w:ind w:firstLine="480"/>
      </w:pPr>
      <w:r>
        <w:rPr>
          <w:rFonts w:hint="eastAsia"/>
        </w:rPr>
        <w:t xml:space="preserve">（3）能够观察肥料在酒精中的溶解性。 </w:t>
      </w:r>
    </w:p>
    <w:p>
      <w:pPr>
        <w:ind w:firstLine="480"/>
      </w:pPr>
      <w:r>
        <w:rPr>
          <w:rFonts w:hint="eastAsia"/>
        </w:rPr>
        <w:t xml:space="preserve">（4）能够测定肥料水溶液的pH值。 </w:t>
      </w:r>
    </w:p>
    <w:p>
      <w:pPr>
        <w:ind w:firstLine="480"/>
      </w:pPr>
      <w:r>
        <w:rPr>
          <w:rFonts w:hint="eastAsia"/>
        </w:rPr>
        <w:t>（5）能够用化学试剂定性鉴定有关阴阳离子。</w:t>
      </w:r>
    </w:p>
    <w:p>
      <w:pPr>
        <w:ind w:firstLine="480"/>
      </w:pPr>
      <w:r>
        <w:rPr>
          <w:rFonts w:hint="eastAsia"/>
        </w:rPr>
        <w:t>（6）能够通过对以上几个方面的观察和检测，得出肥料的品种和类型，并判断其性质是否符合预期。</w:t>
      </w:r>
    </w:p>
    <w:p>
      <w:pPr>
        <w:ind w:firstLine="480"/>
      </w:pPr>
      <w:r>
        <w:rPr>
          <w:rFonts w:hint="eastAsia"/>
        </w:rPr>
        <w:t>（</w:t>
      </w:r>
      <w:r>
        <w:t>7</w:t>
      </w:r>
      <w:r>
        <w:rPr>
          <w:rFonts w:hint="eastAsia"/>
        </w:rPr>
        <w:t xml:space="preserve">）能根据考试要求，规范填写相关内容。 </w:t>
      </w:r>
    </w:p>
    <w:p>
      <w:pPr>
        <w:ind w:firstLine="480"/>
      </w:pPr>
      <w:r>
        <w:rPr>
          <w:rFonts w:hint="eastAsia"/>
        </w:rPr>
        <w:t>（8）考核过程中，考核材料因考生原因受到破损等不与重新发放。</w:t>
      </w:r>
    </w:p>
    <w:p>
      <w:pPr>
        <w:ind w:firstLine="480"/>
      </w:pPr>
      <w:r>
        <w:rPr>
          <w:rFonts w:hint="eastAsia"/>
        </w:rPr>
        <w:t xml:space="preserve">2.设备与材料 </w:t>
      </w:r>
    </w:p>
    <w:p>
      <w:pPr>
        <w:spacing w:line="360" w:lineRule="exact"/>
        <w:ind w:firstLine="480"/>
        <w:rPr>
          <w:rFonts w:ascii="方正书宋简体" w:hAnsi="方正书宋简体" w:eastAsia="方正书宋简体" w:cs="方正书宋简体"/>
        </w:rPr>
      </w:pPr>
      <w:r>
        <w:rPr>
          <w:rFonts w:hint="eastAsia"/>
        </w:rPr>
        <w:t>（1）</w:t>
      </w:r>
      <w:r>
        <w:rPr>
          <w:rFonts w:hint="eastAsia" w:ascii="方正书宋简体" w:hAnsi="方正书宋简体" w:eastAsia="方正书宋简体" w:cs="方正书宋简体"/>
        </w:rPr>
        <w:t>试管架</w:t>
      </w:r>
      <w:r>
        <w:rPr>
          <w:rFonts w:hint="eastAsia"/>
        </w:rPr>
        <w:t>、</w:t>
      </w:r>
      <w:r>
        <w:rPr>
          <w:rFonts w:hint="eastAsia" w:ascii="方正书宋简体" w:hAnsi="方正书宋简体" w:eastAsia="方正书宋简体" w:cs="方正书宋简体"/>
        </w:rPr>
        <w:t>滤纸、试管、铁片。</w:t>
      </w:r>
    </w:p>
    <w:p>
      <w:pPr>
        <w:spacing w:line="360" w:lineRule="exact"/>
        <w:ind w:firstLine="480"/>
        <w:rPr>
          <w:rFonts w:ascii="方正书宋简体" w:hAnsi="方正书宋简体" w:eastAsia="方正书宋简体" w:cs="方正书宋简体"/>
        </w:rPr>
      </w:pPr>
      <w:r>
        <w:rPr>
          <w:rFonts w:hint="eastAsia" w:ascii="方正书宋简体" w:hAnsi="方正书宋简体" w:eastAsia="方正书宋简体" w:cs="方正书宋简体"/>
        </w:rPr>
        <w:t>（2）蒸馏水、酒精灯</w:t>
      </w:r>
      <w:r>
        <w:rPr>
          <w:rFonts w:hint="eastAsia"/>
        </w:rPr>
        <w:t>、</w:t>
      </w:r>
      <w:r>
        <w:rPr>
          <w:rFonts w:hint="eastAsia" w:ascii="方正书宋简体" w:hAnsi="方正书宋简体" w:eastAsia="方正书宋简体" w:cs="方正书宋简体"/>
        </w:rPr>
        <w:t xml:space="preserve">量筒、火柴。 </w:t>
      </w:r>
    </w:p>
    <w:p>
      <w:pPr>
        <w:spacing w:line="360" w:lineRule="exact"/>
        <w:ind w:firstLine="480"/>
        <w:rPr>
          <w:rFonts w:ascii="方正书宋简体" w:hAnsi="方正书宋简体" w:eastAsia="方正书宋简体" w:cs="方正书宋简体"/>
        </w:rPr>
      </w:pPr>
      <w:r>
        <w:rPr>
          <w:rFonts w:hint="eastAsia" w:ascii="方正书宋简体" w:hAnsi="方正书宋简体" w:eastAsia="方正书宋简体" w:cs="方正书宋简体"/>
        </w:rPr>
        <w:t>（3）生产常见肥料（如氮肥、磷肥、钾肥、复合肥）、2.5%BaCl</w:t>
      </w:r>
      <w:r>
        <w:rPr>
          <w:rFonts w:hint="eastAsia" w:ascii="方正书宋简体" w:hAnsi="方正书宋简体" w:eastAsia="方正书宋简体" w:cs="方正书宋简体"/>
          <w:vertAlign w:val="subscript"/>
        </w:rPr>
        <w:t>2</w:t>
      </w:r>
      <w:r>
        <w:rPr>
          <w:rFonts w:hint="eastAsia" w:ascii="方正书宋简体" w:hAnsi="方正书宋简体" w:eastAsia="方正书宋简体" w:cs="方正书宋简体"/>
        </w:rPr>
        <w:t>溶液、pH试纸。</w:t>
      </w:r>
    </w:p>
    <w:p>
      <w:pPr>
        <w:ind w:firstLine="480"/>
      </w:pPr>
      <w:r>
        <w:rPr>
          <w:rFonts w:hint="eastAsia"/>
        </w:rPr>
        <w:t xml:space="preserve">3.操作规范要求 </w:t>
      </w:r>
    </w:p>
    <w:p>
      <w:pPr>
        <w:ind w:firstLine="480"/>
      </w:pPr>
      <w:r>
        <w:rPr>
          <w:rFonts w:hint="eastAsia"/>
        </w:rPr>
        <w:t>（1）考生需要在实验前熟悉所用的化学肥料定性鉴定方法及相关试剂。</w:t>
      </w:r>
    </w:p>
    <w:p>
      <w:pPr>
        <w:ind w:firstLine="480"/>
      </w:pPr>
      <w:r>
        <w:rPr>
          <w:rFonts w:hint="eastAsia"/>
        </w:rPr>
        <w:t>（2）遵循实验室操作的规范和程序，准确使用试剂，避免交叉污染。</w:t>
      </w:r>
    </w:p>
    <w:p>
      <w:pPr>
        <w:ind w:firstLine="480"/>
      </w:pPr>
      <w:r>
        <w:rPr>
          <w:rFonts w:hint="eastAsia"/>
        </w:rPr>
        <w:t>（3）在实验过程中，考生需要注意合理储存、处理和处置试剂。</w:t>
      </w:r>
    </w:p>
    <w:p>
      <w:pPr>
        <w:ind w:firstLine="480"/>
      </w:pPr>
      <w:r>
        <w:rPr>
          <w:rFonts w:hint="eastAsia"/>
        </w:rPr>
        <w:t>（4）考生需要详细记录实验步骤、使用试剂的量和观察结果等，确保记录的准确性和完整性。</w:t>
      </w:r>
    </w:p>
    <w:p>
      <w:pPr>
        <w:ind w:firstLine="480"/>
      </w:pPr>
      <w:r>
        <w:rPr>
          <w:rFonts w:hint="eastAsia"/>
        </w:rPr>
        <w:t>（5）考生需要仔细观察化学反应过程中的颜色、气体释放情况、沉淀形成等变化，并根据观察结果进行准确的鉴定和分析。</w:t>
      </w:r>
    </w:p>
    <w:p>
      <w:pPr>
        <w:ind w:firstLine="480"/>
      </w:pPr>
      <w:r>
        <w:rPr>
          <w:rFonts w:hint="eastAsia"/>
        </w:rPr>
        <w:t>（6）考核过程中，考核材料因考生原因受到破损等</w:t>
      </w:r>
      <w:r>
        <w:rPr>
          <w:rFonts w:hint="eastAsia"/>
          <w:szCs w:val="32"/>
        </w:rPr>
        <w:t>不予重新发放</w:t>
      </w:r>
      <w:r>
        <w:rPr>
          <w:rFonts w:hint="eastAsia"/>
        </w:rPr>
        <w:t>。</w:t>
      </w:r>
    </w:p>
    <w:p>
      <w:pPr>
        <w:ind w:firstLine="480"/>
      </w:pPr>
      <w:r>
        <w:rPr>
          <w:rFonts w:hint="eastAsia"/>
        </w:rPr>
        <w:t xml:space="preserve">（7）根据所用的化学肥料定性鉴定方法，考生需要准确判断待鉴定的化学肥料是否符合特定的化学反应结果和特征。  </w:t>
      </w:r>
    </w:p>
    <w:p>
      <w:pPr>
        <w:ind w:firstLine="480"/>
        <w:rPr>
          <w:rFonts w:ascii="黑体" w:hAnsi="黑体" w:eastAsia="黑体" w:cs="黑体"/>
          <w:szCs w:val="32"/>
        </w:rPr>
      </w:pPr>
      <w:r>
        <w:rPr>
          <w:rFonts w:hint="eastAsia"/>
        </w:rPr>
        <w:t>（8）实验结束后，考生需要按照实验室的规定进行实验仪器和试剂的清洁和整理，确保实验室的整洁和安全。</w:t>
      </w:r>
    </w:p>
    <w:p>
      <w:pPr>
        <w:pStyle w:val="3"/>
        <w:ind w:firstLine="482"/>
        <w:rPr>
          <w:rFonts w:hint="default" w:cs="宋体"/>
        </w:rPr>
      </w:pPr>
      <w:r>
        <w:rPr>
          <w:rFonts w:cs="宋体"/>
        </w:rPr>
        <w:t>技能模块</w:t>
      </w:r>
      <w:r>
        <w:rPr>
          <w:rFonts w:hint="default" w:cs="宋体"/>
        </w:rPr>
        <w:t>6</w:t>
      </w:r>
      <w:r>
        <w:rPr>
          <w:rFonts w:cs="宋体"/>
        </w:rPr>
        <w:t xml:space="preserve">  </w:t>
      </w:r>
      <w:r>
        <w:rPr>
          <w:szCs w:val="21"/>
        </w:rPr>
        <w:t>园艺植物播种前种子处理技术</w:t>
      </w:r>
    </w:p>
    <w:p>
      <w:pPr>
        <w:ind w:firstLine="480"/>
        <w:rPr>
          <w:szCs w:val="32"/>
        </w:rPr>
      </w:pPr>
      <w:r>
        <w:rPr>
          <w:rFonts w:hint="eastAsia"/>
          <w:szCs w:val="32"/>
        </w:rPr>
        <w:t>1.知识与技能</w:t>
      </w:r>
    </w:p>
    <w:p>
      <w:pPr>
        <w:ind w:firstLine="480"/>
        <w:rPr>
          <w:szCs w:val="32"/>
        </w:rPr>
      </w:pPr>
      <w:r>
        <w:rPr>
          <w:szCs w:val="32"/>
        </w:rPr>
        <w:t>（1）仔细检查种子的外观和质量，包括种子的大小、颜色、外观是否完整和健康，排除破损、变形、发霉或病虫害种子</w:t>
      </w:r>
      <w:r>
        <w:rPr>
          <w:rFonts w:hint="eastAsia"/>
          <w:szCs w:val="32"/>
        </w:rPr>
        <w:t>。</w:t>
      </w:r>
    </w:p>
    <w:p>
      <w:pPr>
        <w:ind w:firstLine="480"/>
        <w:rPr>
          <w:szCs w:val="32"/>
        </w:rPr>
      </w:pPr>
      <w:r>
        <w:rPr>
          <w:szCs w:val="32"/>
        </w:rPr>
        <w:t>（2）仔细检查播种器具是否齐全、可正常使</w:t>
      </w:r>
      <w:r>
        <w:rPr>
          <w:rFonts w:hint="eastAsia"/>
          <w:szCs w:val="32"/>
        </w:rPr>
        <w:t>用。</w:t>
      </w:r>
    </w:p>
    <w:p>
      <w:pPr>
        <w:ind w:firstLine="480"/>
        <w:rPr>
          <w:szCs w:val="32"/>
        </w:rPr>
      </w:pPr>
      <w:r>
        <w:rPr>
          <w:szCs w:val="32"/>
        </w:rPr>
        <w:t>（3</w:t>
      </w:r>
      <w:r>
        <w:rPr>
          <w:rFonts w:hint="eastAsia"/>
          <w:szCs w:val="32"/>
        </w:rPr>
        <w:t>）根据不同作物种子的大小、种皮厚度和硬度、浸种水温和液体浓度及环境温度和湿度等确定浸种时间。</w:t>
      </w:r>
    </w:p>
    <w:p>
      <w:pPr>
        <w:ind w:firstLine="480"/>
        <w:rPr>
          <w:szCs w:val="32"/>
        </w:rPr>
      </w:pPr>
      <w:r>
        <w:rPr>
          <w:rFonts w:hint="eastAsia"/>
          <w:szCs w:val="32"/>
        </w:rPr>
        <w:t>（</w:t>
      </w:r>
      <w:r>
        <w:rPr>
          <w:szCs w:val="32"/>
        </w:rPr>
        <w:t>4）</w:t>
      </w:r>
      <w:r>
        <w:rPr>
          <w:rFonts w:hint="eastAsia"/>
          <w:szCs w:val="32"/>
        </w:rPr>
        <w:t>掌握温汤浸种的具体操作方法。</w:t>
      </w:r>
    </w:p>
    <w:p>
      <w:pPr>
        <w:ind w:firstLine="480"/>
        <w:rPr>
          <w:szCs w:val="32"/>
        </w:rPr>
      </w:pPr>
      <w:r>
        <w:rPr>
          <w:szCs w:val="32"/>
        </w:rPr>
        <w:t>（5）</w:t>
      </w:r>
      <w:r>
        <w:rPr>
          <w:rFonts w:hint="eastAsia"/>
          <w:szCs w:val="32"/>
        </w:rPr>
        <w:t>在进行种子处理过程中，注意安全操作规范，同时遵守环境保护要求。</w:t>
      </w:r>
    </w:p>
    <w:p>
      <w:pPr>
        <w:ind w:firstLine="480"/>
        <w:rPr>
          <w:szCs w:val="32"/>
        </w:rPr>
      </w:pPr>
      <w:r>
        <w:rPr>
          <w:szCs w:val="32"/>
        </w:rPr>
        <w:t>（6）</w:t>
      </w:r>
      <w:r>
        <w:rPr>
          <w:rFonts w:hint="eastAsia"/>
          <w:szCs w:val="32"/>
        </w:rPr>
        <w:t>温汤浸种后，依据种子的水分管理要求，如何处理种子表面的多余水分，避免过湿或过干的情况发生。</w:t>
      </w:r>
    </w:p>
    <w:p>
      <w:pPr>
        <w:ind w:firstLine="480"/>
        <w:rPr>
          <w:szCs w:val="32"/>
        </w:rPr>
      </w:pPr>
      <w:r>
        <w:rPr>
          <w:rFonts w:hint="eastAsia"/>
          <w:szCs w:val="32"/>
        </w:rPr>
        <w:t>2.设备与材料</w:t>
      </w:r>
    </w:p>
    <w:p>
      <w:pPr>
        <w:ind w:firstLine="480"/>
        <w:rPr>
          <w:szCs w:val="32"/>
        </w:rPr>
      </w:pPr>
      <w:r>
        <w:rPr>
          <w:rFonts w:hint="eastAsia"/>
          <w:szCs w:val="32"/>
        </w:rPr>
        <w:t>电冰箱、园艺植物种子、热水、容器、搅拌棒、温度计、清洁布、纱布。</w:t>
      </w:r>
    </w:p>
    <w:p>
      <w:pPr>
        <w:ind w:firstLine="480"/>
        <w:rPr>
          <w:szCs w:val="32"/>
        </w:rPr>
      </w:pPr>
      <w:r>
        <w:rPr>
          <w:rFonts w:hint="eastAsia"/>
          <w:szCs w:val="32"/>
        </w:rPr>
        <w:t>3.操作规范要求</w:t>
      </w:r>
    </w:p>
    <w:p>
      <w:pPr>
        <w:ind w:firstLine="480"/>
        <w:rPr>
          <w:szCs w:val="32"/>
        </w:rPr>
      </w:pPr>
      <w:r>
        <w:rPr>
          <w:szCs w:val="32"/>
        </w:rPr>
        <w:t>（1）</w:t>
      </w:r>
      <w:r>
        <w:rPr>
          <w:rFonts w:hint="eastAsia"/>
          <w:szCs w:val="32"/>
        </w:rPr>
        <w:t>考生需熟悉不同蔬菜或观赏植物种子的特征和类型。</w:t>
      </w:r>
    </w:p>
    <w:p>
      <w:pPr>
        <w:ind w:firstLine="480"/>
        <w:rPr>
          <w:szCs w:val="32"/>
        </w:rPr>
      </w:pPr>
      <w:r>
        <w:rPr>
          <w:szCs w:val="32"/>
        </w:rPr>
        <w:t>（2）</w:t>
      </w:r>
      <w:r>
        <w:rPr>
          <w:rFonts w:hint="eastAsia"/>
          <w:szCs w:val="32"/>
        </w:rPr>
        <w:t>考生需要掌握温汤浸种的原理和操作要点。</w:t>
      </w:r>
    </w:p>
    <w:p>
      <w:pPr>
        <w:ind w:firstLine="480"/>
        <w:rPr>
          <w:szCs w:val="32"/>
        </w:rPr>
      </w:pPr>
      <w:r>
        <w:rPr>
          <w:szCs w:val="32"/>
        </w:rPr>
        <w:t>（3）</w:t>
      </w:r>
      <w:r>
        <w:rPr>
          <w:rFonts w:hint="eastAsia"/>
          <w:szCs w:val="32"/>
        </w:rPr>
        <w:t>考生需要掌握温汤处理的温度控制方法，确保温度适宜且稳定。</w:t>
      </w:r>
    </w:p>
    <w:p>
      <w:pPr>
        <w:ind w:firstLine="480"/>
        <w:rPr>
          <w:szCs w:val="32"/>
        </w:rPr>
      </w:pPr>
      <w:r>
        <w:rPr>
          <w:szCs w:val="32"/>
        </w:rPr>
        <w:t>（4）</w:t>
      </w:r>
      <w:r>
        <w:rPr>
          <w:rFonts w:hint="eastAsia"/>
          <w:szCs w:val="32"/>
        </w:rPr>
        <w:t>考生应了解种子温汤处理的时间控制要点，根据种子的特性和处理效果需求，确定合适的处理时间。</w:t>
      </w:r>
    </w:p>
    <w:p>
      <w:pPr>
        <w:ind w:firstLine="480"/>
        <w:rPr>
          <w:szCs w:val="32"/>
        </w:rPr>
      </w:pPr>
      <w:r>
        <w:rPr>
          <w:rFonts w:hint="eastAsia"/>
          <w:szCs w:val="32"/>
        </w:rPr>
        <w:t>（5）考生需熟悉温汤处理设备的构造和操作方法，能够正确操作设备并保证其正常运行。</w:t>
      </w:r>
    </w:p>
    <w:p>
      <w:pPr>
        <w:ind w:firstLine="480"/>
        <w:rPr>
          <w:szCs w:val="32"/>
        </w:rPr>
      </w:pPr>
      <w:r>
        <w:rPr>
          <w:rFonts w:hint="eastAsia"/>
          <w:szCs w:val="32"/>
        </w:rPr>
        <w:t>（6）考生应注重环境和人员卫生管理，确保种子处理过程的卫生条件。</w:t>
      </w:r>
    </w:p>
    <w:p>
      <w:pPr>
        <w:ind w:firstLine="480"/>
        <w:rPr>
          <w:szCs w:val="32"/>
        </w:rPr>
      </w:pPr>
      <w:r>
        <w:rPr>
          <w:rFonts w:hint="eastAsia"/>
          <w:szCs w:val="32"/>
        </w:rPr>
        <w:t>（7）考核过程中，考核材料因考生原因受到破损等不予重新发放。</w:t>
      </w:r>
    </w:p>
    <w:p>
      <w:pPr>
        <w:spacing w:before="120" w:after="120" w:line="360" w:lineRule="auto"/>
        <w:ind w:firstLine="482"/>
        <w:rPr>
          <w:rFonts w:ascii="宋体" w:hAnsi="宋体" w:eastAsia="宋体" w:cs="宋体"/>
          <w:b/>
          <w:bCs/>
          <w:kern w:val="0"/>
          <w:szCs w:val="36"/>
        </w:rPr>
      </w:pPr>
      <w:r>
        <w:rPr>
          <w:rFonts w:hint="eastAsia" w:ascii="宋体" w:hAnsi="宋体" w:eastAsia="宋体" w:cs="宋体"/>
          <w:b/>
          <w:bCs/>
          <w:kern w:val="0"/>
          <w:szCs w:val="36"/>
        </w:rPr>
        <w:t>技能模块</w:t>
      </w:r>
      <w:r>
        <w:rPr>
          <w:rFonts w:ascii="宋体" w:hAnsi="宋体" w:eastAsia="宋体" w:cs="宋体"/>
          <w:b/>
          <w:bCs/>
          <w:kern w:val="0"/>
          <w:szCs w:val="36"/>
        </w:rPr>
        <w:t>7</w:t>
      </w:r>
      <w:r>
        <w:rPr>
          <w:rFonts w:hint="eastAsia" w:ascii="宋体" w:hAnsi="宋体" w:eastAsia="宋体" w:cs="宋体"/>
          <w:b/>
          <w:bCs/>
          <w:kern w:val="0"/>
          <w:szCs w:val="36"/>
        </w:rPr>
        <w:t xml:space="preserve">  </w:t>
      </w:r>
      <w:r>
        <w:rPr>
          <w:rFonts w:hint="eastAsia" w:ascii="宋体" w:hAnsi="宋体" w:eastAsia="宋体" w:cs="宋体"/>
          <w:b/>
          <w:bCs/>
          <w:kern w:val="0"/>
          <w:szCs w:val="21"/>
        </w:rPr>
        <w:t>园艺植物播种育苗</w:t>
      </w:r>
    </w:p>
    <w:p>
      <w:pPr>
        <w:ind w:firstLine="480"/>
        <w:rPr>
          <w:szCs w:val="32"/>
        </w:rPr>
      </w:pPr>
      <w:r>
        <w:rPr>
          <w:rFonts w:hint="eastAsia"/>
          <w:szCs w:val="32"/>
        </w:rPr>
        <w:t>1.知识与技能</w:t>
      </w:r>
    </w:p>
    <w:p>
      <w:pPr>
        <w:ind w:firstLine="480"/>
        <w:rPr>
          <w:szCs w:val="32"/>
        </w:rPr>
      </w:pPr>
      <w:r>
        <w:rPr>
          <w:rFonts w:hint="eastAsia"/>
          <w:szCs w:val="32"/>
        </w:rPr>
        <w:t>（1）根据种子特性正确选择合适的容器和合适的播种方法进行播种育苗。</w:t>
      </w:r>
    </w:p>
    <w:p>
      <w:pPr>
        <w:ind w:firstLine="480"/>
        <w:rPr>
          <w:szCs w:val="32"/>
        </w:rPr>
      </w:pPr>
      <w:r>
        <w:rPr>
          <w:rFonts w:hint="eastAsia"/>
          <w:szCs w:val="32"/>
        </w:rPr>
        <w:t xml:space="preserve">（2）根据种子大小选择适合的容器。 </w:t>
      </w:r>
    </w:p>
    <w:p>
      <w:pPr>
        <w:ind w:firstLine="480"/>
        <w:rPr>
          <w:szCs w:val="32"/>
        </w:rPr>
      </w:pPr>
      <w:r>
        <w:rPr>
          <w:rFonts w:hint="eastAsia"/>
          <w:szCs w:val="32"/>
        </w:rPr>
        <w:t xml:space="preserve">（3）根据种子性质选择基质并进行基质配制。 </w:t>
      </w:r>
    </w:p>
    <w:p>
      <w:pPr>
        <w:ind w:firstLine="480"/>
        <w:rPr>
          <w:szCs w:val="32"/>
        </w:rPr>
      </w:pPr>
      <w:r>
        <w:rPr>
          <w:rFonts w:hint="eastAsia"/>
          <w:szCs w:val="32"/>
        </w:rPr>
        <w:t xml:space="preserve">（4）在规定时间内完成种子播种操作全过程。 </w:t>
      </w:r>
    </w:p>
    <w:p>
      <w:pPr>
        <w:ind w:firstLine="480"/>
        <w:rPr>
          <w:szCs w:val="32"/>
        </w:rPr>
      </w:pPr>
      <w:r>
        <w:rPr>
          <w:rFonts w:hint="eastAsia"/>
          <w:szCs w:val="32"/>
        </w:rPr>
        <w:t xml:space="preserve">（5）操作规范熟练，具有妥善保存种子等材料的工作意识，考试后进行现场清扫、工具归位。 </w:t>
      </w:r>
    </w:p>
    <w:p>
      <w:pPr>
        <w:ind w:firstLine="480"/>
        <w:rPr>
          <w:szCs w:val="32"/>
        </w:rPr>
      </w:pPr>
      <w:r>
        <w:rPr>
          <w:rFonts w:hint="eastAsia"/>
          <w:szCs w:val="32"/>
        </w:rPr>
        <w:t xml:space="preserve">2.设备与材料 </w:t>
      </w:r>
    </w:p>
    <w:p>
      <w:pPr>
        <w:ind w:firstLine="480"/>
        <w:rPr>
          <w:rFonts w:hAnsi="宋体"/>
          <w:spacing w:val="-12"/>
          <w:szCs w:val="21"/>
        </w:rPr>
      </w:pPr>
      <w:r>
        <w:rPr>
          <w:rFonts w:hint="eastAsia"/>
          <w:szCs w:val="32"/>
        </w:rPr>
        <w:t>（1）田园土、泥炭土</w:t>
      </w:r>
      <w:r>
        <w:rPr>
          <w:rFonts w:hint="eastAsia" w:hAnsi="宋体"/>
          <w:spacing w:val="-12"/>
          <w:szCs w:val="21"/>
        </w:rPr>
        <w:t>、河砂（细沙）、珍珠岩、蛭石、种子。</w:t>
      </w:r>
    </w:p>
    <w:p>
      <w:pPr>
        <w:ind w:firstLine="480"/>
        <w:rPr>
          <w:szCs w:val="32"/>
        </w:rPr>
      </w:pPr>
      <w:r>
        <w:rPr>
          <w:rFonts w:hint="eastAsia"/>
          <w:szCs w:val="32"/>
        </w:rPr>
        <w:t>（2）配置药土、</w:t>
      </w:r>
      <w:r>
        <w:rPr>
          <w:rFonts w:hint="eastAsia" w:hAnsi="宋体"/>
          <w:spacing w:val="-12"/>
          <w:szCs w:val="21"/>
        </w:rPr>
        <w:t>浇药水所用药剂（多菌灵、代森锰锌、恶霉灵）</w:t>
      </w:r>
      <w:r>
        <w:rPr>
          <w:rFonts w:hint="eastAsia"/>
          <w:szCs w:val="32"/>
        </w:rPr>
        <w:t>。</w:t>
      </w:r>
    </w:p>
    <w:p>
      <w:pPr>
        <w:ind w:firstLine="480"/>
        <w:rPr>
          <w:szCs w:val="32"/>
        </w:rPr>
      </w:pPr>
      <w:r>
        <w:rPr>
          <w:rFonts w:hint="eastAsia"/>
          <w:szCs w:val="32"/>
        </w:rPr>
        <w:t>（3）</w:t>
      </w:r>
      <w:r>
        <w:rPr>
          <w:rFonts w:hint="eastAsia" w:ascii="宋体" w:hAnsi="宋体" w:eastAsia="宋体" w:cs="宋体"/>
        </w:rPr>
        <w:t>穴盘、喷壶、铁锹。</w:t>
      </w:r>
    </w:p>
    <w:p>
      <w:pPr>
        <w:ind w:firstLine="480"/>
        <w:rPr>
          <w:szCs w:val="32"/>
        </w:rPr>
      </w:pPr>
      <w:r>
        <w:rPr>
          <w:rFonts w:hint="eastAsia"/>
          <w:szCs w:val="32"/>
        </w:rPr>
        <w:t>3.操作规范要求</w:t>
      </w:r>
    </w:p>
    <w:p>
      <w:pPr>
        <w:ind w:firstLine="480"/>
        <w:rPr>
          <w:szCs w:val="32"/>
        </w:rPr>
      </w:pPr>
      <w:r>
        <w:rPr>
          <w:rFonts w:hint="eastAsia"/>
          <w:szCs w:val="32"/>
        </w:rPr>
        <w:t xml:space="preserve">（1）遵守安全操作规范和文明生产要求，防止出现人身伤害及设备事故。 </w:t>
      </w:r>
    </w:p>
    <w:p>
      <w:pPr>
        <w:ind w:firstLine="480"/>
        <w:rPr>
          <w:szCs w:val="32"/>
        </w:rPr>
      </w:pPr>
      <w:r>
        <w:rPr>
          <w:rFonts w:hint="eastAsia"/>
          <w:szCs w:val="32"/>
        </w:rPr>
        <w:t xml:space="preserve">（2）正确穿着佩戴个人防护用品，包括工作服、口罩、胶皮手套等。 </w:t>
      </w:r>
    </w:p>
    <w:p>
      <w:pPr>
        <w:ind w:firstLine="480"/>
        <w:rPr>
          <w:szCs w:val="32"/>
        </w:rPr>
      </w:pPr>
      <w:r>
        <w:rPr>
          <w:rFonts w:hint="eastAsia"/>
          <w:szCs w:val="32"/>
        </w:rPr>
        <w:t>（3）设备、工具、物品等摆放整齐，保证工作场地整洁有序。</w:t>
      </w:r>
    </w:p>
    <w:p>
      <w:pPr>
        <w:ind w:firstLine="480"/>
        <w:rPr>
          <w:szCs w:val="32"/>
        </w:rPr>
      </w:pPr>
      <w:r>
        <w:rPr>
          <w:rFonts w:hint="eastAsia"/>
          <w:szCs w:val="32"/>
        </w:rPr>
        <w:t xml:space="preserve">（4）正确处置操作中出现的废弃物。 </w:t>
      </w:r>
    </w:p>
    <w:p>
      <w:pPr>
        <w:ind w:firstLine="480"/>
        <w:rPr>
          <w:rFonts w:ascii="宋体" w:hAnsi="宋体" w:eastAsia="宋体" w:cs="宋体"/>
          <w:b/>
          <w:bCs/>
          <w:kern w:val="0"/>
          <w:szCs w:val="36"/>
        </w:rPr>
      </w:pPr>
      <w:r>
        <w:rPr>
          <w:rFonts w:hint="eastAsia"/>
          <w:szCs w:val="32"/>
        </w:rPr>
        <w:t>（5）没有违反安全操作规程现象，尊重裁判。</w:t>
      </w:r>
    </w:p>
    <w:p>
      <w:pPr>
        <w:pStyle w:val="3"/>
        <w:ind w:firstLine="482"/>
        <w:rPr>
          <w:rFonts w:hint="default" w:ascii="Times New Roman" w:hAnsi="Times New Roman"/>
        </w:rPr>
      </w:pPr>
      <w:r>
        <w:rPr>
          <w:rFonts w:hint="default" w:ascii="Times New Roman" w:hAnsi="Times New Roman"/>
        </w:rPr>
        <w:t>四、考核项目及权重</w:t>
      </w:r>
    </w:p>
    <w:p>
      <w:pPr>
        <w:ind w:firstLine="480"/>
        <w:rPr>
          <w:rFonts w:ascii="Times New Roman" w:hAnsi="Times New Roman" w:cs="Times New Roman"/>
          <w:szCs w:val="32"/>
        </w:rPr>
      </w:pPr>
      <w:r>
        <w:rPr>
          <w:rFonts w:ascii="Times New Roman" w:hAnsi="Times New Roman" w:cs="Times New Roman"/>
          <w:szCs w:val="32"/>
        </w:rPr>
        <w:t>结合考试范围给定2024年考核项目及权重，如表2所示。</w:t>
      </w:r>
    </w:p>
    <w:p>
      <w:pPr>
        <w:ind w:firstLine="480"/>
        <w:rPr>
          <w:rFonts w:ascii="Times New Roman" w:hAnsi="Times New Roman" w:cs="Times New Roman"/>
          <w:szCs w:val="32"/>
        </w:rPr>
      </w:pP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tbl>
      <w:tblPr>
        <w:tblStyle w:val="9"/>
        <w:tblW w:w="9259"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275"/>
        <w:gridCol w:w="845"/>
        <w:gridCol w:w="3639"/>
        <w:gridCol w:w="567"/>
        <w:gridCol w:w="567"/>
        <w:gridCol w:w="1587"/>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67" w:type="dxa"/>
            <w:vAlign w:val="center"/>
          </w:tcPr>
          <w:p>
            <w:pPr>
              <w:spacing w:line="350" w:lineRule="exact"/>
              <w:ind w:firstLine="0" w:firstLineChars="0"/>
              <w:jc w:val="center"/>
              <w:rPr>
                <w:rFonts w:ascii="方正书宋简体" w:hAnsi="方正书宋简体" w:eastAsia="方正书宋简体" w:cs="方正书宋简体"/>
              </w:rPr>
            </w:pPr>
            <w:r>
              <w:rPr>
                <w:rFonts w:hint="eastAsia" w:ascii="宋体" w:hAnsi="宋体" w:eastAsia="宋体" w:cs="宋体"/>
                <w:sz w:val="21"/>
                <w:szCs w:val="21"/>
              </w:rPr>
              <w:t>序号</w:t>
            </w:r>
          </w:p>
        </w:tc>
        <w:tc>
          <w:tcPr>
            <w:tcW w:w="1275" w:type="dxa"/>
            <w:vAlign w:val="center"/>
          </w:tcPr>
          <w:p>
            <w:pPr>
              <w:spacing w:line="350" w:lineRule="exact"/>
              <w:ind w:firstLine="0" w:firstLineChars="0"/>
              <w:jc w:val="center"/>
              <w:rPr>
                <w:rFonts w:ascii="方正书宋简体" w:hAnsi="方正书宋简体" w:eastAsia="方正书宋简体" w:cs="方正书宋简体"/>
              </w:rPr>
            </w:pPr>
            <w:r>
              <w:rPr>
                <w:rFonts w:hint="eastAsia" w:ascii="宋体" w:hAnsi="宋体" w:eastAsia="宋体" w:cs="宋体"/>
                <w:sz w:val="21"/>
                <w:szCs w:val="21"/>
              </w:rPr>
              <w:t>考核项目</w:t>
            </w:r>
          </w:p>
        </w:tc>
        <w:tc>
          <w:tcPr>
            <w:tcW w:w="845" w:type="dxa"/>
            <w:vAlign w:val="center"/>
          </w:tcPr>
          <w:p>
            <w:pPr>
              <w:spacing w:line="350" w:lineRule="exact"/>
              <w:ind w:firstLine="0" w:firstLineChars="0"/>
              <w:jc w:val="center"/>
              <w:rPr>
                <w:rFonts w:ascii="方正书宋简体" w:hAnsi="方正书宋简体" w:eastAsia="宋体" w:cs="方正书宋简体"/>
              </w:rPr>
            </w:pPr>
            <w:r>
              <w:rPr>
                <w:rFonts w:hint="eastAsia" w:ascii="宋体" w:hAnsi="宋体" w:eastAsia="宋体" w:cs="宋体"/>
                <w:sz w:val="21"/>
                <w:szCs w:val="21"/>
              </w:rPr>
              <w:t>时间</w:t>
            </w:r>
          </w:p>
        </w:tc>
        <w:tc>
          <w:tcPr>
            <w:tcW w:w="3639" w:type="dxa"/>
            <w:vAlign w:val="center"/>
          </w:tcPr>
          <w:p>
            <w:pPr>
              <w:spacing w:line="350" w:lineRule="exact"/>
              <w:ind w:firstLine="420"/>
              <w:jc w:val="center"/>
              <w:rPr>
                <w:rFonts w:ascii="方正书宋简体" w:hAnsi="方正书宋简体" w:eastAsia="方正书宋简体" w:cs="方正书宋简体"/>
              </w:rPr>
            </w:pPr>
            <w:r>
              <w:rPr>
                <w:rFonts w:hint="eastAsia" w:ascii="宋体" w:hAnsi="宋体" w:eastAsia="宋体" w:cs="宋体"/>
                <w:sz w:val="21"/>
                <w:szCs w:val="21"/>
              </w:rPr>
              <w:t>考核内容</w:t>
            </w:r>
          </w:p>
        </w:tc>
        <w:tc>
          <w:tcPr>
            <w:tcW w:w="1134" w:type="dxa"/>
            <w:gridSpan w:val="2"/>
            <w:vAlign w:val="center"/>
          </w:tcPr>
          <w:p>
            <w:pPr>
              <w:spacing w:line="350" w:lineRule="exact"/>
              <w:ind w:firstLine="0" w:firstLineChars="0"/>
              <w:jc w:val="center"/>
              <w:rPr>
                <w:rFonts w:ascii="方正书宋简体" w:hAnsi="方正书宋简体" w:eastAsia="方正书宋简体" w:cs="方正书宋简体"/>
              </w:rPr>
            </w:pPr>
            <w:r>
              <w:rPr>
                <w:rFonts w:hint="eastAsia" w:ascii="宋体" w:hAnsi="宋体" w:eastAsia="宋体" w:cs="宋体"/>
                <w:sz w:val="21"/>
                <w:szCs w:val="21"/>
              </w:rPr>
              <w:t>权重</w:t>
            </w:r>
          </w:p>
        </w:tc>
        <w:tc>
          <w:tcPr>
            <w:tcW w:w="1599" w:type="dxa"/>
            <w:gridSpan w:val="2"/>
            <w:vAlign w:val="center"/>
          </w:tcPr>
          <w:p>
            <w:pPr>
              <w:spacing w:line="350" w:lineRule="exact"/>
              <w:ind w:firstLine="0" w:firstLineChars="0"/>
              <w:jc w:val="center"/>
              <w:rPr>
                <w:rFonts w:ascii="方正书宋简体" w:hAnsi="方正书宋简体" w:eastAsia="方正书宋简体" w:cs="方正书宋简体"/>
              </w:rPr>
            </w:pPr>
            <w:r>
              <w:rPr>
                <w:rFonts w:hint="eastAsia" w:ascii="宋体" w:hAnsi="宋体" w:eastAsia="宋体" w:cs="宋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7" w:type="dxa"/>
            <w:vMerge w:val="restart"/>
            <w:vAlign w:val="center"/>
          </w:tcPr>
          <w:p>
            <w:pPr>
              <w:spacing w:line="360" w:lineRule="exact"/>
              <w:ind w:firstLine="480"/>
              <w:jc w:val="center"/>
              <w:rPr>
                <w:rFonts w:ascii="方正书宋简体" w:hAnsi="方正书宋简体" w:eastAsia="方正书宋简体" w:cs="方正书宋简体"/>
              </w:rPr>
            </w:pPr>
          </w:p>
          <w:p>
            <w:pPr>
              <w:spacing w:line="360" w:lineRule="exact"/>
              <w:ind w:firstLine="0" w:firstLineChars="0"/>
              <w:jc w:val="center"/>
              <w:rPr>
                <w:rFonts w:ascii="方正书宋简体" w:hAnsi="方正书宋简体" w:eastAsia="方正书宋简体" w:cs="方正书宋简体"/>
              </w:rPr>
            </w:pPr>
            <w:r>
              <w:rPr>
                <w:rFonts w:hint="eastAsia" w:ascii="方正书宋简体" w:hAnsi="方正书宋简体" w:eastAsia="方正书宋简体" w:cs="方正书宋简体"/>
              </w:rPr>
              <w:t>1</w:t>
            </w:r>
          </w:p>
        </w:tc>
        <w:tc>
          <w:tcPr>
            <w:tcW w:w="1275" w:type="dxa"/>
            <w:vMerge w:val="restart"/>
            <w:vAlign w:val="center"/>
          </w:tcPr>
          <w:p>
            <w:pPr>
              <w:spacing w:line="360" w:lineRule="exact"/>
              <w:ind w:firstLine="0" w:firstLineChars="0"/>
              <w:rPr>
                <w:rFonts w:ascii="方正书宋简体" w:hAnsi="方正书宋简体" w:eastAsia="方正书宋简体" w:cs="方正书宋简体"/>
                <w:szCs w:val="21"/>
              </w:rPr>
            </w:pPr>
          </w:p>
          <w:p>
            <w:pPr>
              <w:spacing w:line="360" w:lineRule="exact"/>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农业植物分类识别</w:t>
            </w:r>
          </w:p>
          <w:p>
            <w:pPr>
              <w:spacing w:line="360" w:lineRule="exact"/>
              <w:ind w:firstLine="480"/>
              <w:jc w:val="center"/>
              <w:rPr>
                <w:rFonts w:ascii="方正书宋简体" w:hAnsi="方正书宋简体" w:eastAsia="方正书宋简体" w:cs="方正书宋简体"/>
                <w:szCs w:val="21"/>
              </w:rPr>
            </w:pPr>
          </w:p>
        </w:tc>
        <w:tc>
          <w:tcPr>
            <w:tcW w:w="845"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30min</w:t>
            </w:r>
          </w:p>
        </w:tc>
        <w:tc>
          <w:tcPr>
            <w:tcW w:w="3639" w:type="dxa"/>
            <w:vAlign w:val="center"/>
          </w:tcPr>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1.识别10种栽培作物科名</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40</w:t>
            </w:r>
          </w:p>
        </w:tc>
        <w:tc>
          <w:tcPr>
            <w:tcW w:w="567"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200</w:t>
            </w:r>
          </w:p>
        </w:tc>
        <w:tc>
          <w:tcPr>
            <w:tcW w:w="1599" w:type="dxa"/>
            <w:gridSpan w:val="2"/>
            <w:vMerge w:val="restart"/>
            <w:vAlign w:val="center"/>
          </w:tcPr>
          <w:p>
            <w:pPr>
              <w:spacing w:line="360" w:lineRule="exact"/>
              <w:ind w:firstLine="0" w:firstLineChars="0"/>
              <w:jc w:val="left"/>
              <w:rPr>
                <w:rFonts w:ascii="方正书宋简体" w:hAnsi="方正书宋简体" w:eastAsia="方正书宋简体" w:cs="方正书宋简体"/>
              </w:rPr>
            </w:pPr>
            <w:r>
              <w:rPr>
                <w:rFonts w:hint="eastAsia" w:ascii="方正书宋简体" w:hAnsi="方正书宋简体" w:eastAsia="方正书宋简体" w:cs="方正书宋简体"/>
                <w:szCs w:val="21"/>
              </w:rPr>
              <w:t>放大镜、镊子、作物标本或图片，杂草标本或图。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spacing w:line="360" w:lineRule="exact"/>
              <w:ind w:firstLine="0" w:firstLineChars="0"/>
              <w:jc w:val="left"/>
              <w:rPr>
                <w:rFonts w:ascii="方正书宋简体" w:hAnsi="方正书宋简体" w:eastAsia="方正书宋简体" w:cs="方正书宋简体"/>
                <w:szCs w:val="21"/>
              </w:rPr>
            </w:pPr>
            <w:r>
              <w:rPr>
                <w:rFonts w:ascii="方正书宋简体" w:hAnsi="方正书宋简体" w:eastAsia="方正书宋简体" w:cs="方正书宋简体"/>
                <w:szCs w:val="21"/>
              </w:rPr>
              <w:t>2</w:t>
            </w:r>
            <w:r>
              <w:rPr>
                <w:rFonts w:hint="eastAsia" w:ascii="方正书宋简体" w:hAnsi="方正书宋简体" w:eastAsia="方正书宋简体" w:cs="方正书宋简体"/>
                <w:szCs w:val="21"/>
              </w:rPr>
              <w:t>.识别10种栽培作物种名</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40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99" w:type="dxa"/>
            <w:gridSpan w:val="2"/>
            <w:vMerge w:val="continue"/>
            <w:vAlign w:val="center"/>
          </w:tcPr>
          <w:p>
            <w:pPr>
              <w:spacing w:line="360" w:lineRule="exact"/>
              <w:ind w:firstLine="480"/>
              <w:jc w:val="center"/>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3.识别10种农田杂草科名</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40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99" w:type="dxa"/>
            <w:gridSpan w:val="2"/>
            <w:vMerge w:val="continue"/>
            <w:vAlign w:val="center"/>
          </w:tcPr>
          <w:p>
            <w:pPr>
              <w:spacing w:line="360" w:lineRule="exact"/>
              <w:ind w:firstLine="480"/>
              <w:jc w:val="center"/>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spacing w:line="360" w:lineRule="exact"/>
              <w:ind w:firstLine="0" w:firstLineChars="0"/>
              <w:jc w:val="left"/>
              <w:rPr>
                <w:rFonts w:ascii="方正书宋简体" w:hAnsi="方正书宋简体" w:eastAsia="方正书宋简体" w:cs="方正书宋简体"/>
                <w:szCs w:val="21"/>
              </w:rPr>
            </w:pPr>
            <w:r>
              <w:rPr>
                <w:rFonts w:ascii="方正书宋简体" w:hAnsi="方正书宋简体" w:eastAsia="方正书宋简体" w:cs="方正书宋简体"/>
                <w:szCs w:val="21"/>
              </w:rPr>
              <w:t>4</w:t>
            </w:r>
            <w:r>
              <w:rPr>
                <w:rFonts w:hint="eastAsia" w:ascii="方正书宋简体" w:hAnsi="方正书宋简体" w:eastAsia="方正书宋简体" w:cs="方正书宋简体"/>
                <w:szCs w:val="21"/>
              </w:rPr>
              <w:t>.识别10种农田杂草种名</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40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99" w:type="dxa"/>
            <w:gridSpan w:val="2"/>
            <w:vMerge w:val="continue"/>
            <w:vAlign w:val="center"/>
          </w:tcPr>
          <w:p>
            <w:pPr>
              <w:spacing w:line="360" w:lineRule="exact"/>
              <w:ind w:firstLine="480"/>
              <w:jc w:val="center"/>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5</w:t>
            </w:r>
            <w:r>
              <w:rPr>
                <w:rFonts w:ascii="方正书宋简体" w:hAnsi="方正书宋简体" w:eastAsia="方正书宋简体" w:cs="方正书宋简体"/>
                <w:szCs w:val="21"/>
              </w:rPr>
              <w:t>.</w:t>
            </w:r>
            <w:r>
              <w:rPr>
                <w:rFonts w:hint="eastAsia" w:ascii="方正书宋简体" w:hAnsi="方正书宋简体" w:eastAsia="方正书宋简体" w:cs="方正书宋简体"/>
                <w:szCs w:val="21"/>
              </w:rPr>
              <w:t>说明给定杂草防治方法</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w:t>
            </w:r>
            <w:r>
              <w:rPr>
                <w:rFonts w:ascii="宋体" w:hAnsi="宋体" w:eastAsia="宋体" w:cs="宋体"/>
                <w:sz w:val="21"/>
                <w:szCs w:val="21"/>
              </w:rPr>
              <w:t>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99" w:type="dxa"/>
            <w:gridSpan w:val="2"/>
            <w:vMerge w:val="continue"/>
            <w:vAlign w:val="center"/>
          </w:tcPr>
          <w:p>
            <w:pPr>
              <w:spacing w:line="360" w:lineRule="exact"/>
              <w:ind w:firstLine="480"/>
              <w:jc w:val="center"/>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restart"/>
            <w:vAlign w:val="center"/>
          </w:tcPr>
          <w:p>
            <w:pPr>
              <w:spacing w:line="360" w:lineRule="exact"/>
              <w:ind w:firstLine="0" w:firstLineChars="0"/>
              <w:jc w:val="center"/>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2</w:t>
            </w:r>
          </w:p>
        </w:tc>
        <w:tc>
          <w:tcPr>
            <w:tcW w:w="1275" w:type="dxa"/>
            <w:vMerge w:val="restart"/>
            <w:vAlign w:val="center"/>
          </w:tcPr>
          <w:p>
            <w:pPr>
              <w:spacing w:line="360" w:lineRule="exact"/>
              <w:ind w:firstLine="0" w:firstLineChars="0"/>
              <w:rPr>
                <w:rFonts w:ascii="方正书宋简体" w:hAnsi="方正书宋简体" w:eastAsia="方正书宋简体" w:cs="方正书宋简体"/>
                <w:szCs w:val="21"/>
              </w:rPr>
            </w:pPr>
          </w:p>
          <w:p>
            <w:pPr>
              <w:spacing w:line="360" w:lineRule="exact"/>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生物显微镜使用</w:t>
            </w:r>
          </w:p>
          <w:p>
            <w:pPr>
              <w:spacing w:line="360" w:lineRule="exact"/>
              <w:ind w:firstLine="480"/>
              <w:jc w:val="center"/>
              <w:rPr>
                <w:rFonts w:ascii="方正书宋简体" w:hAnsi="方正书宋简体" w:eastAsia="方正书宋简体" w:cs="方正书宋简体"/>
                <w:szCs w:val="21"/>
              </w:rPr>
            </w:pPr>
          </w:p>
        </w:tc>
        <w:tc>
          <w:tcPr>
            <w:tcW w:w="845"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30min</w:t>
            </w:r>
          </w:p>
        </w:tc>
        <w:tc>
          <w:tcPr>
            <w:tcW w:w="3639" w:type="dxa"/>
            <w:vAlign w:val="center"/>
          </w:tcPr>
          <w:p>
            <w:pPr>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1.取镜</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67"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587" w:type="dxa"/>
            <w:vMerge w:val="restart"/>
            <w:vAlign w:val="center"/>
          </w:tcPr>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显微镜、玻片。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2.接通电源和放置载玻片</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3.低倍镜的使用</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4.高倍镜的使用</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5.还镜</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6</w:t>
            </w:r>
            <w:r>
              <w:rPr>
                <w:rFonts w:ascii="方正书宋简体" w:hAnsi="方正书宋简体" w:eastAsia="方正书宋简体" w:cs="方正书宋简体"/>
                <w:szCs w:val="21"/>
              </w:rPr>
              <w:t>.</w:t>
            </w:r>
            <w:r>
              <w:rPr>
                <w:rFonts w:hint="eastAsia" w:ascii="方正书宋简体" w:hAnsi="方正书宋简体" w:eastAsia="方正书宋简体" w:cs="方正书宋简体"/>
                <w:szCs w:val="21"/>
              </w:rPr>
              <w:t>规范操作、安全整洁</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restart"/>
            <w:vAlign w:val="center"/>
          </w:tcPr>
          <w:p>
            <w:pPr>
              <w:spacing w:line="360" w:lineRule="exact"/>
              <w:ind w:firstLine="0" w:firstLineChars="0"/>
              <w:jc w:val="center"/>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3</w:t>
            </w:r>
          </w:p>
        </w:tc>
        <w:tc>
          <w:tcPr>
            <w:tcW w:w="1275" w:type="dxa"/>
            <w:vMerge w:val="restart"/>
            <w:vAlign w:val="center"/>
          </w:tcPr>
          <w:p>
            <w:pPr>
              <w:spacing w:line="360" w:lineRule="exact"/>
              <w:ind w:firstLine="0" w:firstLineChars="0"/>
              <w:rPr>
                <w:rFonts w:ascii="方正书宋简体" w:hAnsi="方正书宋简体" w:eastAsia="方正书宋简体" w:cs="方正书宋简体"/>
                <w:szCs w:val="21"/>
              </w:rPr>
            </w:pPr>
          </w:p>
          <w:p>
            <w:pPr>
              <w:spacing w:line="360" w:lineRule="exact"/>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农作物病害虫识别及防治</w:t>
            </w:r>
          </w:p>
          <w:p>
            <w:pPr>
              <w:spacing w:line="360" w:lineRule="exact"/>
              <w:ind w:firstLine="480"/>
              <w:jc w:val="center"/>
              <w:rPr>
                <w:rFonts w:ascii="方正书宋简体" w:hAnsi="方正书宋简体" w:eastAsia="方正书宋简体" w:cs="方正书宋简体"/>
                <w:szCs w:val="21"/>
              </w:rPr>
            </w:pPr>
          </w:p>
        </w:tc>
        <w:tc>
          <w:tcPr>
            <w:tcW w:w="845"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30min</w:t>
            </w:r>
          </w:p>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1.病害名称识别及症状描述</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67"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p>
            <w:pPr>
              <w:spacing w:line="360" w:lineRule="exact"/>
              <w:ind w:firstLine="420"/>
              <w:jc w:val="center"/>
              <w:rPr>
                <w:rFonts w:ascii="宋体" w:hAnsi="宋体" w:eastAsia="宋体" w:cs="宋体"/>
                <w:sz w:val="21"/>
                <w:szCs w:val="21"/>
              </w:rPr>
            </w:pPr>
          </w:p>
        </w:tc>
        <w:tc>
          <w:tcPr>
            <w:tcW w:w="1587" w:type="dxa"/>
            <w:vMerge w:val="restart"/>
            <w:vAlign w:val="center"/>
          </w:tcPr>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放大镜、病害标本或图片、</w:t>
            </w:r>
          </w:p>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害虫标本或图片。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2.病原类型识别及病害类型确定定</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3.确定病害防治方法</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4.害虫目名、种名识别</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szCs w:val="21"/>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szCs w:val="21"/>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5.确定害虫防治方法</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restart"/>
            <w:vAlign w:val="center"/>
          </w:tcPr>
          <w:p>
            <w:pPr>
              <w:spacing w:line="360" w:lineRule="exact"/>
              <w:ind w:firstLine="0" w:firstLineChars="0"/>
              <w:jc w:val="center"/>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4</w:t>
            </w:r>
          </w:p>
        </w:tc>
        <w:tc>
          <w:tcPr>
            <w:tcW w:w="1275" w:type="dxa"/>
            <w:vMerge w:val="restart"/>
            <w:vAlign w:val="center"/>
          </w:tcPr>
          <w:p>
            <w:pPr>
              <w:spacing w:line="360" w:lineRule="exact"/>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喷雾器使用技术</w:t>
            </w:r>
          </w:p>
        </w:tc>
        <w:tc>
          <w:tcPr>
            <w:tcW w:w="845" w:type="dxa"/>
            <w:vMerge w:val="restart"/>
            <w:vAlign w:val="center"/>
          </w:tcPr>
          <w:p>
            <w:pPr>
              <w:spacing w:line="360" w:lineRule="exact"/>
              <w:ind w:firstLine="420"/>
              <w:jc w:val="center"/>
              <w:rPr>
                <w:rFonts w:ascii="宋体" w:hAnsi="宋体" w:eastAsia="宋体" w:cs="宋体"/>
                <w:sz w:val="21"/>
                <w:szCs w:val="21"/>
              </w:rPr>
            </w:pP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30min</w:t>
            </w:r>
          </w:p>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1.喷雾器检查</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67"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587" w:type="dxa"/>
            <w:vMerge w:val="restart"/>
            <w:vAlign w:val="center"/>
          </w:tcPr>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防护装备（眼罩、防护服、手套等）、喷雾器、量筒、塑料桶、农药</w:t>
            </w:r>
          </w:p>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、天平。</w:t>
            </w:r>
          </w:p>
          <w:p>
            <w:pPr>
              <w:spacing w:line="360" w:lineRule="exact"/>
              <w:ind w:firstLine="48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电子秤等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2.根据配制浓度，计算用药量</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3.药液配制</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4喷雾</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5.喷雾器清洗</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63" w:hRule="exac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center"/>
              <w:rPr>
                <w:rFonts w:ascii="方正书宋简体" w:hAnsi="方正书宋简体" w:eastAsia="方正书宋简体" w:cs="方正书宋简体"/>
              </w:rPr>
            </w:pPr>
          </w:p>
        </w:tc>
        <w:tc>
          <w:tcPr>
            <w:tcW w:w="845" w:type="dxa"/>
            <w:vMerge w:val="continue"/>
            <w:vAlign w:val="center"/>
          </w:tcPr>
          <w:p>
            <w:pPr>
              <w:spacing w:line="360" w:lineRule="exact"/>
              <w:ind w:firstLine="420"/>
              <w:jc w:val="center"/>
              <w:rPr>
                <w:rFonts w:ascii="宋体" w:hAnsi="宋体" w:eastAsia="宋体" w:cs="宋体"/>
                <w:sz w:val="21"/>
                <w:szCs w:val="21"/>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6.规范操作、安全整洁</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67" w:type="dxa"/>
            <w:vMerge w:val="continue"/>
            <w:vAlign w:val="center"/>
          </w:tcPr>
          <w:p>
            <w:pPr>
              <w:spacing w:line="360" w:lineRule="exact"/>
              <w:ind w:firstLine="420"/>
              <w:jc w:val="center"/>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1" w:hRule="atLeast"/>
        </w:trPr>
        <w:tc>
          <w:tcPr>
            <w:tcW w:w="767" w:type="dxa"/>
            <w:vMerge w:val="restart"/>
            <w:vAlign w:val="center"/>
          </w:tcPr>
          <w:p>
            <w:pPr>
              <w:spacing w:line="360" w:lineRule="exact"/>
              <w:ind w:firstLine="480"/>
              <w:jc w:val="center"/>
              <w:rPr>
                <w:rFonts w:ascii="方正书宋简体" w:hAnsi="方正书宋简体" w:eastAsia="方正书宋简体" w:cs="方正书宋简体"/>
              </w:rPr>
            </w:pPr>
          </w:p>
          <w:p>
            <w:pPr>
              <w:spacing w:line="360" w:lineRule="exact"/>
              <w:ind w:firstLine="0" w:firstLineChars="0"/>
              <w:jc w:val="center"/>
              <w:rPr>
                <w:rFonts w:ascii="方正书宋简体" w:hAnsi="方正书宋简体" w:eastAsia="方正书宋简体" w:cs="方正书宋简体"/>
              </w:rPr>
            </w:pPr>
            <w:r>
              <w:rPr>
                <w:rFonts w:hint="eastAsia" w:ascii="方正书宋简体" w:hAnsi="方正书宋简体" w:eastAsia="方正书宋简体" w:cs="方正书宋简体"/>
                <w:szCs w:val="21"/>
              </w:rPr>
              <w:t>5</w:t>
            </w:r>
          </w:p>
        </w:tc>
        <w:tc>
          <w:tcPr>
            <w:tcW w:w="1275" w:type="dxa"/>
            <w:vMerge w:val="restart"/>
            <w:vAlign w:val="center"/>
          </w:tcPr>
          <w:p>
            <w:pPr>
              <w:spacing w:line="360" w:lineRule="exact"/>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color w:val="000000" w:themeColor="text1"/>
                <w:szCs w:val="21"/>
              </w:rPr>
              <w:t>常用化学肥料定性鉴定</w:t>
            </w:r>
          </w:p>
        </w:tc>
        <w:tc>
          <w:tcPr>
            <w:tcW w:w="845"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30min</w:t>
            </w: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1.操作前检查、准备工作</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20</w:t>
            </w:r>
          </w:p>
        </w:tc>
        <w:tc>
          <w:tcPr>
            <w:tcW w:w="567" w:type="dxa"/>
            <w:vMerge w:val="restart"/>
            <w:vAlign w:val="center"/>
          </w:tcPr>
          <w:p>
            <w:pPr>
              <w:spacing w:line="360" w:lineRule="exact"/>
              <w:ind w:firstLine="420"/>
              <w:jc w:val="center"/>
              <w:rPr>
                <w:rFonts w:ascii="宋体" w:hAnsi="宋体" w:eastAsia="宋体" w:cs="宋体"/>
                <w:sz w:val="21"/>
                <w:szCs w:val="21"/>
              </w:rPr>
            </w:pPr>
          </w:p>
          <w:p>
            <w:pPr>
              <w:spacing w:line="360" w:lineRule="exact"/>
              <w:ind w:firstLine="420"/>
              <w:jc w:val="center"/>
              <w:rPr>
                <w:rFonts w:ascii="宋体" w:hAnsi="宋体" w:eastAsia="宋体" w:cs="宋体"/>
                <w:sz w:val="21"/>
                <w:szCs w:val="21"/>
              </w:rPr>
            </w:pP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1587" w:type="dxa"/>
            <w:vMerge w:val="restart"/>
            <w:vAlign w:val="center"/>
          </w:tcPr>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试管架、滤纸</w:t>
            </w:r>
          </w:p>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、试管、铁片</w:t>
            </w:r>
          </w:p>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、蒸馏水、酒精灯、火柴 、各种肥料（氮肥、磷肥、钾肥、复合肥）、量、pH试纸、2.5%BaCl2溶液。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278"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2.化肥外表观察</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20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41"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3.观察肥料溶解度</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20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3"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4.酒精加入溶解性观察</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20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8"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5.测定PH值</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20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15"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6.观察灼烧效果</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20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590"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7.用化学试剂定性鉴定有关阴阳离子</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20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59"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vAlign w:val="center"/>
          </w:tcPr>
          <w:p>
            <w:pPr>
              <w:ind w:firstLine="0" w:firstLineChars="0"/>
              <w:rPr>
                <w:rFonts w:ascii="方正书宋简体" w:hAnsi="方正书宋简体" w:eastAsia="方正书宋简体" w:cs="方正书宋简体"/>
              </w:rPr>
            </w:pPr>
            <w:r>
              <w:rPr>
                <w:rFonts w:hint="eastAsia" w:ascii="方正书宋简体" w:hAnsi="方正书宋简体" w:eastAsia="方正书宋简体" w:cs="方正书宋简体"/>
              </w:rPr>
              <w:t>8.识别结果</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40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7"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tcPr>
          <w:p>
            <w:pPr>
              <w:spacing w:line="360" w:lineRule="exact"/>
              <w:ind w:firstLine="0" w:firstLineChars="0"/>
              <w:rPr>
                <w:rFonts w:ascii="方正书宋简体" w:hAnsi="方正书宋简体" w:eastAsia="方正书宋简体" w:cs="方正书宋简体"/>
              </w:rPr>
            </w:pPr>
            <w:r>
              <w:rPr>
                <w:rFonts w:hint="eastAsia"/>
                <w:color w:val="000000" w:themeColor="text1"/>
              </w:rPr>
              <w:t>9.规范操作、安全整洁</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67" w:type="dxa"/>
            <w:vMerge w:val="continue"/>
            <w:vAlign w:val="center"/>
          </w:tcPr>
          <w:p>
            <w:pPr>
              <w:spacing w:line="360" w:lineRule="exact"/>
              <w:ind w:firstLine="420"/>
              <w:jc w:val="left"/>
              <w:rPr>
                <w:rFonts w:ascii="宋体" w:hAnsi="宋体" w:eastAsia="宋体" w:cs="宋体"/>
                <w:sz w:val="21"/>
                <w:szCs w:val="21"/>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16" w:hRule="atLeast"/>
        </w:trPr>
        <w:tc>
          <w:tcPr>
            <w:tcW w:w="767" w:type="dxa"/>
            <w:vMerge w:val="restart"/>
            <w:vAlign w:val="center"/>
          </w:tcPr>
          <w:p>
            <w:pPr>
              <w:spacing w:line="360" w:lineRule="exact"/>
              <w:ind w:firstLine="0" w:firstLineChars="0"/>
              <w:jc w:val="center"/>
              <w:rPr>
                <w:rFonts w:ascii="方正书宋简体" w:hAnsi="方正书宋简体" w:eastAsia="方正书宋简体" w:cs="方正书宋简体"/>
                <w:szCs w:val="21"/>
              </w:rPr>
            </w:pPr>
            <w:r>
              <w:rPr>
                <w:rFonts w:ascii="方正书宋简体" w:hAnsi="方正书宋简体" w:eastAsia="方正书宋简体" w:cs="方正书宋简体"/>
                <w:szCs w:val="21"/>
              </w:rPr>
              <w:t>6</w:t>
            </w:r>
          </w:p>
        </w:tc>
        <w:tc>
          <w:tcPr>
            <w:tcW w:w="1275" w:type="dxa"/>
            <w:vMerge w:val="restart"/>
            <w:vAlign w:val="center"/>
          </w:tcPr>
          <w:p>
            <w:pPr>
              <w:spacing w:line="360" w:lineRule="exact"/>
              <w:ind w:firstLine="0" w:firstLineChars="0"/>
              <w:jc w:val="left"/>
              <w:rPr>
                <w:rFonts w:ascii="方正书宋简体" w:hAnsi="方正书宋简体" w:eastAsia="方正书宋简体" w:cs="方正书宋简体"/>
              </w:rPr>
            </w:pPr>
            <w:r>
              <w:rPr>
                <w:rFonts w:hint="eastAsia" w:ascii="方正书宋简体" w:hAnsi="方正书宋简体" w:eastAsia="方正书宋简体" w:cs="方正书宋简体"/>
                <w:color w:val="000000" w:themeColor="text1"/>
                <w:szCs w:val="21"/>
              </w:rPr>
              <w:t>园艺植物播种前种子处理技术</w:t>
            </w:r>
          </w:p>
        </w:tc>
        <w:tc>
          <w:tcPr>
            <w:tcW w:w="845"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30min</w:t>
            </w:r>
          </w:p>
        </w:tc>
        <w:tc>
          <w:tcPr>
            <w:tcW w:w="3639" w:type="dxa"/>
            <w:vAlign w:val="center"/>
          </w:tcPr>
          <w:p>
            <w:pPr>
              <w:spacing w:line="360" w:lineRule="exact"/>
              <w:ind w:firstLine="0" w:firstLineChars="0"/>
              <w:rPr>
                <w:rFonts w:ascii="方正书宋简体" w:hAnsi="方正书宋简体" w:eastAsia="方正书宋简体" w:cs="方正书宋简体"/>
              </w:rPr>
            </w:pPr>
            <w:r>
              <w:rPr>
                <w:rFonts w:hint="eastAsia"/>
                <w:color w:val="000000" w:themeColor="text1"/>
              </w:rPr>
              <w:t>1.种子和器具准备</w:t>
            </w:r>
          </w:p>
        </w:tc>
        <w:tc>
          <w:tcPr>
            <w:tcW w:w="567" w:type="dxa"/>
            <w:vAlign w:val="center"/>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20</w:t>
            </w:r>
          </w:p>
        </w:tc>
        <w:tc>
          <w:tcPr>
            <w:tcW w:w="567" w:type="dxa"/>
            <w:vMerge w:val="restart"/>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200</w:t>
            </w:r>
          </w:p>
        </w:tc>
        <w:tc>
          <w:tcPr>
            <w:tcW w:w="1587" w:type="dxa"/>
            <w:vMerge w:val="restart"/>
            <w:vAlign w:val="center"/>
          </w:tcPr>
          <w:p>
            <w:pPr>
              <w:spacing w:line="360" w:lineRule="exact"/>
              <w:ind w:firstLine="0" w:firstLineChars="0"/>
              <w:rPr>
                <w:rFonts w:ascii="方正书宋简体" w:hAnsi="方正书宋简体" w:eastAsia="方正书宋简体" w:cs="方正书宋简体"/>
                <w:color w:val="000000" w:themeColor="text1"/>
                <w:szCs w:val="21"/>
              </w:rPr>
            </w:pPr>
            <w:r>
              <w:rPr>
                <w:rFonts w:hint="eastAsia" w:ascii="方正书宋简体" w:hAnsi="方正书宋简体" w:eastAsia="方正书宋简体" w:cs="方正书宋简体"/>
                <w:color w:val="000000" w:themeColor="text1"/>
                <w:szCs w:val="21"/>
              </w:rPr>
              <w:t>电冰箱 、蔬菜、花卉种子 、热水 、容器 、搅拌棒、温度计、清洁布、纱布。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25"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0" w:firstLineChars="0"/>
              <w:rPr>
                <w:rFonts w:ascii="宋体" w:hAnsi="宋体" w:eastAsia="宋体" w:cs="宋体"/>
                <w:sz w:val="21"/>
                <w:szCs w:val="21"/>
              </w:rPr>
            </w:pPr>
          </w:p>
        </w:tc>
        <w:tc>
          <w:tcPr>
            <w:tcW w:w="3639" w:type="dxa"/>
            <w:vAlign w:val="center"/>
          </w:tcPr>
          <w:p>
            <w:pPr>
              <w:spacing w:line="360" w:lineRule="exact"/>
              <w:ind w:firstLine="0" w:firstLineChars="0"/>
              <w:rPr>
                <w:rFonts w:ascii="方正书宋简体" w:hAnsi="方正书宋简体" w:eastAsia="方正书宋简体" w:cs="方正书宋简体"/>
              </w:rPr>
            </w:pPr>
            <w:r>
              <w:rPr>
                <w:rFonts w:hint="eastAsia"/>
                <w:color w:val="000000" w:themeColor="text1"/>
              </w:rPr>
              <w:t>2.温汤浸种水温调整</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w:t>
            </w:r>
            <w:r>
              <w:rPr>
                <w:rFonts w:ascii="宋体" w:hAnsi="宋体" w:eastAsia="宋体" w:cs="宋体"/>
                <w:sz w:val="21"/>
                <w:szCs w:val="21"/>
              </w:rPr>
              <w:t>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16"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0" w:firstLineChars="0"/>
              <w:rPr>
                <w:rFonts w:ascii="宋体" w:hAnsi="宋体" w:eastAsia="宋体" w:cs="宋体"/>
                <w:sz w:val="21"/>
                <w:szCs w:val="21"/>
              </w:rPr>
            </w:pPr>
          </w:p>
        </w:tc>
        <w:tc>
          <w:tcPr>
            <w:tcW w:w="3639" w:type="dxa"/>
            <w:vAlign w:val="center"/>
          </w:tcPr>
          <w:p>
            <w:pPr>
              <w:spacing w:line="360" w:lineRule="exact"/>
              <w:ind w:firstLine="0" w:firstLineChars="0"/>
              <w:rPr>
                <w:rFonts w:ascii="方正书宋简体" w:hAnsi="方正书宋简体" w:eastAsia="方正书宋简体" w:cs="方正书宋简体"/>
              </w:rPr>
            </w:pPr>
            <w:r>
              <w:rPr>
                <w:rFonts w:hint="eastAsia"/>
                <w:color w:val="000000" w:themeColor="text1"/>
              </w:rPr>
              <w:t>3.浸种时间确定</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w:t>
            </w:r>
            <w:r>
              <w:rPr>
                <w:rFonts w:ascii="宋体" w:hAnsi="宋体" w:eastAsia="宋体" w:cs="宋体"/>
                <w:sz w:val="21"/>
                <w:szCs w:val="21"/>
              </w:rPr>
              <w:t>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82"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0" w:firstLineChars="0"/>
              <w:rPr>
                <w:rFonts w:ascii="宋体" w:hAnsi="宋体" w:eastAsia="宋体" w:cs="宋体"/>
                <w:sz w:val="21"/>
                <w:szCs w:val="21"/>
              </w:rPr>
            </w:pPr>
          </w:p>
        </w:tc>
        <w:tc>
          <w:tcPr>
            <w:tcW w:w="3639" w:type="dxa"/>
            <w:vAlign w:val="center"/>
          </w:tcPr>
          <w:p>
            <w:pPr>
              <w:spacing w:line="360" w:lineRule="exact"/>
              <w:ind w:firstLine="0" w:firstLineChars="0"/>
              <w:rPr>
                <w:rFonts w:ascii="方正书宋简体" w:hAnsi="方正书宋简体" w:eastAsia="方正书宋简体" w:cs="方正书宋简体"/>
              </w:rPr>
            </w:pPr>
            <w:r>
              <w:rPr>
                <w:rFonts w:hint="eastAsia"/>
                <w:color w:val="000000" w:themeColor="text1"/>
              </w:rPr>
              <w:t>4.温汤浸种操作</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w:t>
            </w:r>
            <w:r>
              <w:rPr>
                <w:rFonts w:ascii="宋体" w:hAnsi="宋体" w:eastAsia="宋体" w:cs="宋体"/>
                <w:sz w:val="21"/>
                <w:szCs w:val="21"/>
              </w:rPr>
              <w:t>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43"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0" w:firstLineChars="0"/>
              <w:rPr>
                <w:rFonts w:ascii="宋体" w:hAnsi="宋体" w:eastAsia="宋体" w:cs="宋体"/>
                <w:sz w:val="21"/>
                <w:szCs w:val="21"/>
              </w:rPr>
            </w:pPr>
          </w:p>
        </w:tc>
        <w:tc>
          <w:tcPr>
            <w:tcW w:w="3639" w:type="dxa"/>
            <w:vAlign w:val="center"/>
          </w:tcPr>
          <w:p>
            <w:pPr>
              <w:spacing w:line="360" w:lineRule="exact"/>
              <w:ind w:firstLine="0" w:firstLineChars="0"/>
              <w:rPr>
                <w:rFonts w:ascii="方正书宋简体" w:hAnsi="方正书宋简体" w:eastAsia="方正书宋简体" w:cs="方正书宋简体"/>
              </w:rPr>
            </w:pPr>
            <w:r>
              <w:rPr>
                <w:rFonts w:hint="eastAsia"/>
                <w:color w:val="000000" w:themeColor="text1"/>
              </w:rPr>
              <w:t>5.温汤浸种后续管理</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w:t>
            </w:r>
            <w:r>
              <w:rPr>
                <w:rFonts w:ascii="宋体" w:hAnsi="宋体" w:eastAsia="宋体" w:cs="宋体"/>
                <w:sz w:val="21"/>
                <w:szCs w:val="21"/>
              </w:rPr>
              <w:t>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85" w:hRule="atLeast"/>
        </w:trPr>
        <w:tc>
          <w:tcPr>
            <w:tcW w:w="767" w:type="dxa"/>
            <w:vMerge w:val="continue"/>
            <w:vAlign w:val="center"/>
          </w:tcPr>
          <w:p>
            <w:pPr>
              <w:spacing w:line="360" w:lineRule="exact"/>
              <w:ind w:firstLine="480"/>
              <w:jc w:val="center"/>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0" w:firstLineChars="0"/>
              <w:rPr>
                <w:rFonts w:ascii="宋体" w:hAnsi="宋体" w:eastAsia="宋体" w:cs="宋体"/>
                <w:sz w:val="21"/>
                <w:szCs w:val="21"/>
              </w:rPr>
            </w:pPr>
          </w:p>
        </w:tc>
        <w:tc>
          <w:tcPr>
            <w:tcW w:w="3639" w:type="dxa"/>
            <w:vAlign w:val="center"/>
          </w:tcPr>
          <w:p>
            <w:pPr>
              <w:spacing w:line="360" w:lineRule="exact"/>
              <w:ind w:firstLine="0" w:firstLineChars="0"/>
              <w:rPr>
                <w:color w:val="000000" w:themeColor="text1"/>
              </w:rPr>
            </w:pPr>
            <w:r>
              <w:rPr>
                <w:rFonts w:hint="eastAsia"/>
                <w:color w:val="000000" w:themeColor="text1"/>
              </w:rPr>
              <w:t>6</w:t>
            </w:r>
            <w:r>
              <w:rPr>
                <w:color w:val="000000" w:themeColor="text1"/>
              </w:rPr>
              <w:t>.</w:t>
            </w:r>
            <w:r>
              <w:rPr>
                <w:rFonts w:hint="eastAsia"/>
                <w:color w:val="000000" w:themeColor="text1"/>
              </w:rPr>
              <w:t>规范操作、安全整洁</w:t>
            </w:r>
          </w:p>
        </w:tc>
        <w:tc>
          <w:tcPr>
            <w:tcW w:w="56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9" w:hRule="atLeast"/>
        </w:trPr>
        <w:tc>
          <w:tcPr>
            <w:tcW w:w="767" w:type="dxa"/>
            <w:vMerge w:val="restart"/>
            <w:vAlign w:val="center"/>
          </w:tcPr>
          <w:p>
            <w:pPr>
              <w:spacing w:line="360" w:lineRule="exact"/>
              <w:ind w:firstLine="0" w:firstLineChars="0"/>
              <w:jc w:val="center"/>
              <w:rPr>
                <w:rFonts w:ascii="方正书宋简体" w:hAnsi="方正书宋简体" w:eastAsia="方正书宋简体" w:cs="方正书宋简体"/>
                <w:szCs w:val="21"/>
              </w:rPr>
            </w:pPr>
            <w:r>
              <w:rPr>
                <w:rFonts w:ascii="方正书宋简体" w:hAnsi="方正书宋简体" w:eastAsia="方正书宋简体" w:cs="方正书宋简体"/>
                <w:szCs w:val="21"/>
              </w:rPr>
              <w:t>7</w:t>
            </w:r>
          </w:p>
        </w:tc>
        <w:tc>
          <w:tcPr>
            <w:tcW w:w="1275" w:type="dxa"/>
            <w:vMerge w:val="restart"/>
            <w:vAlign w:val="center"/>
          </w:tcPr>
          <w:p>
            <w:pPr>
              <w:spacing w:line="360" w:lineRule="exact"/>
              <w:ind w:firstLine="0" w:firstLineChars="0"/>
              <w:jc w:val="left"/>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园艺植物播种育苗</w:t>
            </w:r>
          </w:p>
        </w:tc>
        <w:tc>
          <w:tcPr>
            <w:tcW w:w="845"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30min</w:t>
            </w:r>
          </w:p>
        </w:tc>
        <w:tc>
          <w:tcPr>
            <w:tcW w:w="3639" w:type="dxa"/>
          </w:tcPr>
          <w:p>
            <w:pPr>
              <w:spacing w:line="360" w:lineRule="exact"/>
              <w:ind w:firstLine="0" w:firstLineChars="0"/>
              <w:rPr>
                <w:rFonts w:ascii="方正书宋简体" w:hAnsi="方正书宋简体" w:eastAsia="方正书宋简体" w:cs="方正书宋简体"/>
              </w:rPr>
            </w:pPr>
            <w:r>
              <w:rPr>
                <w:rFonts w:hint="eastAsia"/>
                <w:color w:val="000000" w:themeColor="text1"/>
              </w:rPr>
              <w:t>1.播种容器选择适当</w:t>
            </w:r>
          </w:p>
        </w:tc>
        <w:tc>
          <w:tcPr>
            <w:tcW w:w="567" w:type="dxa"/>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w:t>
            </w:r>
            <w:r>
              <w:rPr>
                <w:rFonts w:ascii="宋体" w:hAnsi="宋体" w:eastAsia="宋体" w:cs="宋体"/>
                <w:sz w:val="21"/>
                <w:szCs w:val="21"/>
              </w:rPr>
              <w:t>0</w:t>
            </w:r>
          </w:p>
        </w:tc>
        <w:tc>
          <w:tcPr>
            <w:tcW w:w="567" w:type="dxa"/>
            <w:vMerge w:val="restart"/>
            <w:vAlign w:val="center"/>
          </w:tcPr>
          <w:p>
            <w:pPr>
              <w:spacing w:line="360" w:lineRule="exact"/>
              <w:ind w:firstLine="0" w:firstLineChars="0"/>
              <w:jc w:val="center"/>
              <w:rPr>
                <w:rFonts w:ascii="方正书宋简体" w:hAnsi="方正书宋简体" w:eastAsia="方正书宋简体" w:cs="方正书宋简体"/>
                <w:color w:val="000000" w:themeColor="text1"/>
                <w:szCs w:val="21"/>
              </w:rPr>
            </w:pPr>
          </w:p>
          <w:p>
            <w:pPr>
              <w:spacing w:line="360" w:lineRule="exact"/>
              <w:ind w:firstLine="0" w:firstLineChars="0"/>
              <w:jc w:val="center"/>
              <w:rPr>
                <w:rFonts w:ascii="方正书宋简体" w:hAnsi="方正书宋简体" w:eastAsia="方正书宋简体" w:cs="方正书宋简体"/>
              </w:rPr>
            </w:pPr>
            <w:r>
              <w:rPr>
                <w:rFonts w:hint="eastAsia" w:ascii="宋体" w:hAnsi="宋体" w:eastAsia="宋体" w:cs="宋体"/>
                <w:sz w:val="21"/>
                <w:szCs w:val="21"/>
              </w:rPr>
              <w:t>200</w:t>
            </w:r>
          </w:p>
        </w:tc>
        <w:tc>
          <w:tcPr>
            <w:tcW w:w="1587" w:type="dxa"/>
            <w:vMerge w:val="restart"/>
            <w:vAlign w:val="center"/>
          </w:tcPr>
          <w:p>
            <w:pPr>
              <w:spacing w:line="360" w:lineRule="exact"/>
              <w:ind w:firstLine="0" w:firstLineChars="0"/>
              <w:jc w:val="left"/>
              <w:rPr>
                <w:rFonts w:ascii="方正书宋简体" w:hAnsi="方正书宋简体" w:eastAsia="方正书宋简体" w:cs="方正书宋简体"/>
              </w:rPr>
            </w:pPr>
            <w:r>
              <w:rPr>
                <w:rFonts w:hint="eastAsia" w:ascii="方正书宋简体" w:hAnsi="方正书宋简体" w:eastAsia="方正书宋简体" w:cs="方正书宋简体"/>
                <w:color w:val="000000" w:themeColor="text1"/>
                <w:szCs w:val="21"/>
              </w:rPr>
              <w:t>杀菌剂、喷壶、种子、穴盘、泥炭土、珍珠岩、蛭石、河砂、田园土、铁锹。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14"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tcPr>
          <w:p>
            <w:pPr>
              <w:spacing w:line="360" w:lineRule="exact"/>
              <w:ind w:firstLine="0" w:firstLineChars="0"/>
              <w:rPr>
                <w:rFonts w:ascii="方正书宋简体" w:hAnsi="方正书宋简体" w:eastAsia="方正书宋简体" w:cs="方正书宋简体"/>
              </w:rPr>
            </w:pPr>
            <w:r>
              <w:rPr>
                <w:rFonts w:hint="eastAsia"/>
                <w:color w:val="000000" w:themeColor="text1"/>
              </w:rPr>
              <w:t>2.基质配比恰当</w:t>
            </w:r>
          </w:p>
        </w:tc>
        <w:tc>
          <w:tcPr>
            <w:tcW w:w="567" w:type="dxa"/>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40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590"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tcPr>
          <w:p>
            <w:pPr>
              <w:spacing w:line="360" w:lineRule="exact"/>
              <w:ind w:firstLine="0" w:firstLineChars="0"/>
              <w:rPr>
                <w:rFonts w:ascii="方正书宋简体" w:hAnsi="方正书宋简体" w:eastAsia="方正书宋简体" w:cs="方正书宋简体"/>
              </w:rPr>
            </w:pPr>
            <w:r>
              <w:rPr>
                <w:rFonts w:hint="eastAsia"/>
                <w:color w:val="000000" w:themeColor="text1"/>
              </w:rPr>
              <w:t>3.药土配置及穴盘装填基质松紧恰当、药水喷施</w:t>
            </w:r>
          </w:p>
        </w:tc>
        <w:tc>
          <w:tcPr>
            <w:tcW w:w="567" w:type="dxa"/>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50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02"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tcPr>
          <w:p>
            <w:pPr>
              <w:spacing w:line="360" w:lineRule="exact"/>
              <w:ind w:firstLine="0" w:firstLineChars="0"/>
              <w:rPr>
                <w:rFonts w:ascii="方正书宋简体" w:hAnsi="方正书宋简体" w:eastAsia="方正书宋简体" w:cs="方正书宋简体"/>
              </w:rPr>
            </w:pPr>
            <w:r>
              <w:rPr>
                <w:rFonts w:hint="eastAsia"/>
                <w:color w:val="000000" w:themeColor="text1"/>
              </w:rPr>
              <w:t>4.选择正确的播种方法进行播种</w:t>
            </w:r>
          </w:p>
        </w:tc>
        <w:tc>
          <w:tcPr>
            <w:tcW w:w="567" w:type="dxa"/>
          </w:tcPr>
          <w:p>
            <w:pPr>
              <w:spacing w:line="360" w:lineRule="exact"/>
              <w:ind w:firstLine="0" w:firstLineChars="0"/>
              <w:jc w:val="center"/>
              <w:rPr>
                <w:rFonts w:ascii="宋体" w:hAnsi="宋体" w:eastAsia="宋体" w:cs="宋体"/>
                <w:sz w:val="21"/>
                <w:szCs w:val="21"/>
              </w:rPr>
            </w:pPr>
            <w:r>
              <w:rPr>
                <w:rFonts w:ascii="宋体" w:hAnsi="宋体" w:eastAsia="宋体" w:cs="宋体"/>
                <w:sz w:val="21"/>
                <w:szCs w:val="21"/>
              </w:rPr>
              <w:t>50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590" w:hRule="atLeast"/>
        </w:trPr>
        <w:tc>
          <w:tcPr>
            <w:tcW w:w="767" w:type="dxa"/>
            <w:vMerge w:val="continue"/>
            <w:vAlign w:val="center"/>
          </w:tcPr>
          <w:p>
            <w:pPr>
              <w:spacing w:line="360" w:lineRule="exact"/>
              <w:ind w:firstLine="480"/>
              <w:jc w:val="left"/>
              <w:rPr>
                <w:rFonts w:ascii="方正书宋简体" w:hAnsi="方正书宋简体" w:eastAsia="方正书宋简体" w:cs="方正书宋简体"/>
              </w:rPr>
            </w:pPr>
          </w:p>
        </w:tc>
        <w:tc>
          <w:tcPr>
            <w:tcW w:w="1275" w:type="dxa"/>
            <w:vMerge w:val="continue"/>
            <w:vAlign w:val="center"/>
          </w:tcPr>
          <w:p>
            <w:pPr>
              <w:spacing w:line="360" w:lineRule="exact"/>
              <w:ind w:firstLine="480"/>
              <w:jc w:val="left"/>
              <w:rPr>
                <w:rFonts w:ascii="方正书宋简体" w:hAnsi="方正书宋简体" w:eastAsia="方正书宋简体" w:cs="方正书宋简体"/>
              </w:rPr>
            </w:pPr>
          </w:p>
        </w:tc>
        <w:tc>
          <w:tcPr>
            <w:tcW w:w="845" w:type="dxa"/>
            <w:vMerge w:val="continue"/>
            <w:vAlign w:val="center"/>
          </w:tcPr>
          <w:p>
            <w:pPr>
              <w:spacing w:line="360" w:lineRule="exact"/>
              <w:ind w:firstLine="480"/>
              <w:jc w:val="left"/>
              <w:rPr>
                <w:rFonts w:ascii="方正书宋简体" w:hAnsi="方正书宋简体" w:eastAsia="方正书宋简体" w:cs="方正书宋简体"/>
              </w:rPr>
            </w:pPr>
          </w:p>
        </w:tc>
        <w:tc>
          <w:tcPr>
            <w:tcW w:w="3639" w:type="dxa"/>
          </w:tcPr>
          <w:p>
            <w:pPr>
              <w:spacing w:line="360" w:lineRule="exact"/>
              <w:ind w:firstLine="0" w:firstLineChars="0"/>
              <w:rPr>
                <w:rFonts w:ascii="方正书宋简体" w:hAnsi="方正书宋简体" w:eastAsia="方正书宋简体" w:cs="方正书宋简体"/>
              </w:rPr>
            </w:pPr>
            <w:r>
              <w:rPr>
                <w:rFonts w:hint="eastAsia"/>
                <w:color w:val="000000" w:themeColor="text1"/>
              </w:rPr>
              <w:t>5.播种后操作管理、现场清扫、工具归位</w:t>
            </w:r>
          </w:p>
        </w:tc>
        <w:tc>
          <w:tcPr>
            <w:tcW w:w="567" w:type="dxa"/>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w:t>
            </w:r>
            <w:r>
              <w:rPr>
                <w:rFonts w:ascii="宋体" w:hAnsi="宋体" w:eastAsia="宋体" w:cs="宋体"/>
                <w:sz w:val="21"/>
                <w:szCs w:val="21"/>
              </w:rPr>
              <w:t>0</w:t>
            </w:r>
          </w:p>
        </w:tc>
        <w:tc>
          <w:tcPr>
            <w:tcW w:w="567" w:type="dxa"/>
            <w:vMerge w:val="continue"/>
            <w:vAlign w:val="center"/>
          </w:tcPr>
          <w:p>
            <w:pPr>
              <w:spacing w:line="360" w:lineRule="exact"/>
              <w:ind w:firstLine="480"/>
              <w:jc w:val="left"/>
              <w:rPr>
                <w:rFonts w:ascii="方正书宋简体" w:hAnsi="方正书宋简体" w:eastAsia="方正书宋简体" w:cs="方正书宋简体"/>
              </w:rPr>
            </w:pPr>
          </w:p>
        </w:tc>
        <w:tc>
          <w:tcPr>
            <w:tcW w:w="1587" w:type="dxa"/>
            <w:vMerge w:val="continue"/>
            <w:vAlign w:val="center"/>
          </w:tcPr>
          <w:p>
            <w:pPr>
              <w:spacing w:line="360" w:lineRule="exact"/>
              <w:ind w:firstLine="480"/>
              <w:jc w:val="left"/>
              <w:rPr>
                <w:rFonts w:ascii="方正书宋简体" w:hAnsi="方正书宋简体" w:eastAsia="方正书宋简体" w:cs="方正书宋简体"/>
              </w:rPr>
            </w:pPr>
          </w:p>
        </w:tc>
      </w:tr>
    </w:tbl>
    <w:p>
      <w:pPr>
        <w:ind w:firstLine="0" w:firstLineChars="0"/>
        <w:rPr>
          <w:rFonts w:ascii="黑体" w:hAnsi="黑体" w:eastAsia="黑体" w:cs="黑体"/>
          <w:szCs w:val="32"/>
        </w:rPr>
      </w:pPr>
    </w:p>
    <w:p>
      <w:pPr>
        <w:pStyle w:val="3"/>
        <w:ind w:firstLine="482"/>
        <w:rPr>
          <w:rFonts w:hint="default"/>
        </w:rPr>
      </w:pPr>
      <w:r>
        <w:t>五</w:t>
      </w:r>
      <w:r>
        <w:rPr>
          <w:rFonts w:hint="default"/>
        </w:rPr>
        <w:t>、考试大纲</w:t>
      </w:r>
      <w:r>
        <w:t>编制</w:t>
      </w:r>
      <w:r>
        <w:rPr>
          <w:rFonts w:hint="default"/>
        </w:rPr>
        <w:t>说明</w:t>
      </w:r>
    </w:p>
    <w:p>
      <w:pPr>
        <w:ind w:firstLine="480"/>
      </w:pPr>
      <w:r>
        <w:rPr>
          <w:rFonts w:hint="eastAsia"/>
        </w:rPr>
        <w:t>1.考试大纲编制原则</w:t>
      </w:r>
    </w:p>
    <w:p>
      <w:pPr>
        <w:ind w:firstLine="480"/>
      </w:pPr>
      <w:r>
        <w:rPr>
          <w:rFonts w:hint="eastAsia"/>
        </w:rPr>
        <w:t>遵循专业基础知识和岗位核心能力相结合原则，选取典型专业技能项目，将专业知识融入技能操作，考查技能训练教学效果，考核学生职业岗位工作过程；兼顾中等职业学校作物生产类各专业教学标准和技术新标准，选取通用知识与技能作为考核项目。</w:t>
      </w:r>
    </w:p>
    <w:p>
      <w:pPr>
        <w:ind w:firstLine="480"/>
      </w:pPr>
      <w:r>
        <w:rPr>
          <w:rFonts w:hint="eastAsia"/>
        </w:rPr>
        <w:t>2.考试大纲适用专业</w:t>
      </w:r>
    </w:p>
    <w:p>
      <w:pPr>
        <w:ind w:firstLine="480"/>
      </w:pPr>
      <w:r>
        <w:rPr>
          <w:rFonts w:hint="eastAsia"/>
        </w:rPr>
        <w:t>本考试大纲适用于中等职业学校作物生产技术、休闲农业生产与经营专业。</w:t>
      </w:r>
    </w:p>
    <w:p>
      <w:pPr>
        <w:ind w:firstLine="480"/>
      </w:pPr>
      <w:r>
        <w:rPr>
          <w:rFonts w:hint="eastAsia"/>
        </w:rPr>
        <w:t>3.教学内容及实施建议</w:t>
      </w:r>
    </w:p>
    <w:p>
      <w:pPr>
        <w:ind w:firstLine="480"/>
      </w:pPr>
      <w:r>
        <w:rPr>
          <w:rFonts w:hint="eastAsia"/>
        </w:rPr>
        <w:t>（1）考纲对应教学内容，全面考核中等职业学校作物生产类专业学生在种子播前处理、种苗繁育、农业植物识别、病虫害防治、肥料鉴定、农业工具使用等方面技能掌握及运用能力，考试范围及难易程度合理，适用于选拔技术技能人才。</w:t>
      </w:r>
    </w:p>
    <w:p>
      <w:pPr>
        <w:ind w:firstLine="480"/>
      </w:pPr>
      <w:r>
        <w:rPr>
          <w:rFonts w:hint="eastAsia"/>
        </w:rPr>
        <w:t>（2）教学实施建议，本次给定的2024年考核项目是中等职业学校作物生产类专业教学内容的一部分，考核项目每年有一定变化；建议中等职业学校依据各专业教学标准，合理匹配理论与实践教学，全面提升学生专业能力及综合素养。</w:t>
      </w:r>
    </w:p>
    <w:p>
      <w:pPr>
        <w:ind w:firstLine="480"/>
      </w:pPr>
      <w:r>
        <w:rPr>
          <w:rFonts w:hint="eastAsia"/>
        </w:rPr>
        <w:t>4.技能考试过程</w:t>
      </w:r>
    </w:p>
    <w:p>
      <w:pPr>
        <w:ind w:firstLine="480"/>
      </w:pPr>
      <w:r>
        <w:rPr>
          <w:rFonts w:hint="eastAsia"/>
        </w:rPr>
        <w:t>作物生产类专业技能考试采取实操方式进行，时间为</w:t>
      </w:r>
      <w:r>
        <w:t>30</w:t>
      </w:r>
      <w:r>
        <w:rPr>
          <w:rFonts w:hint="eastAsia"/>
        </w:rPr>
        <w:t>分钟；依据不同技能考核项目综合考察学生合理使用、操作与检测仪器设备能力、分析与数据统计能力以及安全文明作业情况。</w:t>
      </w:r>
    </w:p>
    <w:p>
      <w:pPr>
        <w:ind w:firstLine="480"/>
      </w:pPr>
      <w:r>
        <w:rPr>
          <w:rFonts w:hint="eastAsia"/>
        </w:rPr>
        <w:t>5.评价赋分形式</w:t>
      </w:r>
    </w:p>
    <w:p>
      <w:pPr>
        <w:ind w:firstLine="480"/>
      </w:pPr>
      <w:r>
        <w:rPr>
          <w:rFonts w:hint="eastAsia"/>
        </w:rPr>
        <w:t>作物生产类专业技能考核为过程性评价，同时注重工作质量，权重合理。</w:t>
      </w:r>
    </w:p>
    <w:p>
      <w:pPr>
        <w:ind w:firstLine="480"/>
      </w:pPr>
    </w:p>
    <w:p>
      <w:pPr>
        <w:ind w:firstLine="480"/>
      </w:pPr>
    </w:p>
    <w:p>
      <w:pPr>
        <w:ind w:firstLine="0" w:firstLineChars="0"/>
        <w:rPr>
          <w:szCs w:val="32"/>
        </w:rPr>
      </w:pPr>
    </w:p>
    <w:p>
      <w:pPr>
        <w:ind w:firstLine="0" w:firstLineChars="0"/>
        <w:rPr>
          <w:szCs w:val="32"/>
        </w:rPr>
      </w:pPr>
    </w:p>
    <w:p>
      <w:pPr>
        <w:ind w:firstLine="0" w:firstLineChars="0"/>
        <w:rPr>
          <w:szCs w:val="32"/>
        </w:rPr>
      </w:pPr>
    </w:p>
    <w:p>
      <w:pPr>
        <w:ind w:firstLine="480"/>
      </w:pPr>
      <w:bookmarkStart w:id="1" w:name="_GoBack"/>
      <w:bookmarkEnd w:id="1"/>
    </w:p>
    <w:p>
      <w:pPr>
        <w:ind w:firstLine="480"/>
      </w:pPr>
    </w:p>
    <w:p>
      <w:pPr>
        <w:ind w:firstLine="480"/>
      </w:pPr>
    </w:p>
    <w:p>
      <w:pPr>
        <w:ind w:firstLine="480"/>
      </w:pPr>
    </w:p>
    <w:p>
      <w:pPr>
        <w:ind w:firstLine="480"/>
      </w:pPr>
    </w:p>
    <w:p>
      <w:pPr>
        <w:ind w:firstLine="480"/>
      </w:pPr>
    </w:p>
    <w:p>
      <w:pPr>
        <w:ind w:firstLine="480"/>
      </w:pPr>
    </w:p>
    <w:p>
      <w:pPr>
        <w:tabs>
          <w:tab w:val="left" w:pos="8227"/>
        </w:tabs>
        <w:ind w:firstLine="480"/>
        <w:jc w:val="left"/>
      </w:pPr>
      <w:r>
        <w:rPr>
          <w:rFonts w:hint="eastAsia"/>
        </w:rPr>
        <w:tab/>
      </w:r>
    </w:p>
    <w:sectPr>
      <w:headerReference r:id="rId7" w:type="first"/>
      <w:footerReference r:id="rId10" w:type="first"/>
      <w:headerReference r:id="rId5" w:type="default"/>
      <w:footerReference r:id="rId8" w:type="default"/>
      <w:headerReference r:id="rId6" w:type="even"/>
      <w:footerReference r:id="rId9" w:type="even"/>
      <w:pgSz w:w="11906" w:h="16838"/>
      <w:pgMar w:top="1440" w:right="1327" w:bottom="1440" w:left="115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三简体">
    <w:altName w:val="宋体"/>
    <w:panose1 w:val="00000000000000000000"/>
    <w:charset w:val="86"/>
    <w:family w:val="auto"/>
    <w:pitch w:val="default"/>
    <w:sig w:usb0="00000000" w:usb1="00000000" w:usb2="00000000" w:usb3="00000000" w:csb0="00040000" w:csb1="00000000"/>
  </w:font>
  <w:font w:name="方正书宋简体">
    <w:altName w:val="宋体"/>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path/>
          <v:fill on="f" focussize="0,0"/>
          <v:stroke on="f" weight="0.5pt" joinstyle="miter"/>
          <v:imagedata o:title=""/>
          <o:lock v:ext="edit"/>
          <v:textbox inset="0mm,0mm,0mm,0mm" style="mso-fit-shape-to-text:t;">
            <w:txbxContent>
              <w:p>
                <w:pPr>
                  <w:pStyle w:val="5"/>
                  <w:ind w:firstLine="360"/>
                </w:pPr>
                <w:r>
                  <w:fldChar w:fldCharType="begin"/>
                </w:r>
                <w:r>
                  <w:instrText xml:space="preserve"> PAGE  \* MERGEFORMAT </w:instrText>
                </w:r>
                <w:r>
                  <w:fldChar w:fldCharType="separate"/>
                </w:r>
                <w:r>
                  <w:t>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172A27"/>
    <w:rsid w:val="00003C94"/>
    <w:rsid w:val="00035FEF"/>
    <w:rsid w:val="00042E92"/>
    <w:rsid w:val="00057822"/>
    <w:rsid w:val="00094C70"/>
    <w:rsid w:val="000A3AC9"/>
    <w:rsid w:val="000A6FC5"/>
    <w:rsid w:val="000B1052"/>
    <w:rsid w:val="000C0A5E"/>
    <w:rsid w:val="001255F4"/>
    <w:rsid w:val="00172A27"/>
    <w:rsid w:val="001B7C5C"/>
    <w:rsid w:val="001E70D6"/>
    <w:rsid w:val="002041E8"/>
    <w:rsid w:val="0020652F"/>
    <w:rsid w:val="00213756"/>
    <w:rsid w:val="002345B0"/>
    <w:rsid w:val="002426D1"/>
    <w:rsid w:val="0024354F"/>
    <w:rsid w:val="00256508"/>
    <w:rsid w:val="00262F36"/>
    <w:rsid w:val="00277519"/>
    <w:rsid w:val="002D5297"/>
    <w:rsid w:val="00331645"/>
    <w:rsid w:val="003368D0"/>
    <w:rsid w:val="0034336B"/>
    <w:rsid w:val="00343C30"/>
    <w:rsid w:val="00344C75"/>
    <w:rsid w:val="0035449A"/>
    <w:rsid w:val="0038552C"/>
    <w:rsid w:val="003B6C26"/>
    <w:rsid w:val="003C7EE5"/>
    <w:rsid w:val="003E61C2"/>
    <w:rsid w:val="0041337B"/>
    <w:rsid w:val="00420A3B"/>
    <w:rsid w:val="00430A30"/>
    <w:rsid w:val="00432230"/>
    <w:rsid w:val="00435EDF"/>
    <w:rsid w:val="00476915"/>
    <w:rsid w:val="004775EA"/>
    <w:rsid w:val="004807DA"/>
    <w:rsid w:val="004948EB"/>
    <w:rsid w:val="004B555D"/>
    <w:rsid w:val="004D3C12"/>
    <w:rsid w:val="004E2AF8"/>
    <w:rsid w:val="004F2556"/>
    <w:rsid w:val="004F2BEA"/>
    <w:rsid w:val="00515B94"/>
    <w:rsid w:val="00521A63"/>
    <w:rsid w:val="0052277F"/>
    <w:rsid w:val="00553597"/>
    <w:rsid w:val="0059714E"/>
    <w:rsid w:val="005B456B"/>
    <w:rsid w:val="005E0F60"/>
    <w:rsid w:val="006157A2"/>
    <w:rsid w:val="00625DED"/>
    <w:rsid w:val="006411C6"/>
    <w:rsid w:val="006557C7"/>
    <w:rsid w:val="006908CB"/>
    <w:rsid w:val="00694C84"/>
    <w:rsid w:val="006C017B"/>
    <w:rsid w:val="006D026A"/>
    <w:rsid w:val="00706A7B"/>
    <w:rsid w:val="0071001C"/>
    <w:rsid w:val="007408A5"/>
    <w:rsid w:val="00743986"/>
    <w:rsid w:val="0075792F"/>
    <w:rsid w:val="00772C7E"/>
    <w:rsid w:val="0078639B"/>
    <w:rsid w:val="00786CCC"/>
    <w:rsid w:val="007901EB"/>
    <w:rsid w:val="00797BF7"/>
    <w:rsid w:val="007C382F"/>
    <w:rsid w:val="007D6A40"/>
    <w:rsid w:val="007E18F5"/>
    <w:rsid w:val="007F4151"/>
    <w:rsid w:val="00807966"/>
    <w:rsid w:val="0083633A"/>
    <w:rsid w:val="00845145"/>
    <w:rsid w:val="0085690F"/>
    <w:rsid w:val="00860E57"/>
    <w:rsid w:val="008746AA"/>
    <w:rsid w:val="0088558C"/>
    <w:rsid w:val="008874AF"/>
    <w:rsid w:val="008926EC"/>
    <w:rsid w:val="0089766D"/>
    <w:rsid w:val="008A1716"/>
    <w:rsid w:val="008D22AA"/>
    <w:rsid w:val="00906657"/>
    <w:rsid w:val="00913505"/>
    <w:rsid w:val="009330AF"/>
    <w:rsid w:val="00961935"/>
    <w:rsid w:val="009720CF"/>
    <w:rsid w:val="00975DD8"/>
    <w:rsid w:val="009851C8"/>
    <w:rsid w:val="00990051"/>
    <w:rsid w:val="009A0D5E"/>
    <w:rsid w:val="009C332A"/>
    <w:rsid w:val="009C5366"/>
    <w:rsid w:val="009D064C"/>
    <w:rsid w:val="009F6A58"/>
    <w:rsid w:val="00A013DB"/>
    <w:rsid w:val="00A06242"/>
    <w:rsid w:val="00A16ED7"/>
    <w:rsid w:val="00A26E8C"/>
    <w:rsid w:val="00A27D8F"/>
    <w:rsid w:val="00A75265"/>
    <w:rsid w:val="00AA6998"/>
    <w:rsid w:val="00B0399B"/>
    <w:rsid w:val="00B13F94"/>
    <w:rsid w:val="00B208C8"/>
    <w:rsid w:val="00B34C3D"/>
    <w:rsid w:val="00B44090"/>
    <w:rsid w:val="00B95B7F"/>
    <w:rsid w:val="00BD7348"/>
    <w:rsid w:val="00BF72D6"/>
    <w:rsid w:val="00C16C95"/>
    <w:rsid w:val="00C2428C"/>
    <w:rsid w:val="00C33089"/>
    <w:rsid w:val="00C44600"/>
    <w:rsid w:val="00C60838"/>
    <w:rsid w:val="00C637FA"/>
    <w:rsid w:val="00CC4447"/>
    <w:rsid w:val="00CD0861"/>
    <w:rsid w:val="00CE107C"/>
    <w:rsid w:val="00D05071"/>
    <w:rsid w:val="00D41D24"/>
    <w:rsid w:val="00D42D0C"/>
    <w:rsid w:val="00DC19F4"/>
    <w:rsid w:val="00DC40B1"/>
    <w:rsid w:val="00DD1F9C"/>
    <w:rsid w:val="00E238A9"/>
    <w:rsid w:val="00E71F73"/>
    <w:rsid w:val="00E845C6"/>
    <w:rsid w:val="00E863BC"/>
    <w:rsid w:val="00EB0FC8"/>
    <w:rsid w:val="00ED3DAC"/>
    <w:rsid w:val="00F654EC"/>
    <w:rsid w:val="00F846A7"/>
    <w:rsid w:val="00F84A87"/>
    <w:rsid w:val="00F85134"/>
    <w:rsid w:val="00FA75DD"/>
    <w:rsid w:val="00FC637E"/>
    <w:rsid w:val="00FE01D3"/>
    <w:rsid w:val="00FE2B2A"/>
    <w:rsid w:val="00FF43CA"/>
    <w:rsid w:val="00FF4F1D"/>
    <w:rsid w:val="0168529C"/>
    <w:rsid w:val="021550AD"/>
    <w:rsid w:val="02702D13"/>
    <w:rsid w:val="02C60B85"/>
    <w:rsid w:val="034862F0"/>
    <w:rsid w:val="038E0703"/>
    <w:rsid w:val="04B34B43"/>
    <w:rsid w:val="04CD4FB2"/>
    <w:rsid w:val="07025EC3"/>
    <w:rsid w:val="085F761D"/>
    <w:rsid w:val="08A059D4"/>
    <w:rsid w:val="099C43EE"/>
    <w:rsid w:val="0C1B25A0"/>
    <w:rsid w:val="0E5D5260"/>
    <w:rsid w:val="0F493E93"/>
    <w:rsid w:val="126A1B24"/>
    <w:rsid w:val="14B75004"/>
    <w:rsid w:val="15966307"/>
    <w:rsid w:val="15A177F9"/>
    <w:rsid w:val="16E5231C"/>
    <w:rsid w:val="186510A6"/>
    <w:rsid w:val="18831AFF"/>
    <w:rsid w:val="1DCF195D"/>
    <w:rsid w:val="1E3D7AF5"/>
    <w:rsid w:val="1FC3227C"/>
    <w:rsid w:val="1FC475AA"/>
    <w:rsid w:val="210C6E17"/>
    <w:rsid w:val="22086FD9"/>
    <w:rsid w:val="22934188"/>
    <w:rsid w:val="234E6301"/>
    <w:rsid w:val="23F7779D"/>
    <w:rsid w:val="24600C0F"/>
    <w:rsid w:val="24895207"/>
    <w:rsid w:val="25805E78"/>
    <w:rsid w:val="260D1A06"/>
    <w:rsid w:val="26266336"/>
    <w:rsid w:val="27DF1DDE"/>
    <w:rsid w:val="286C2198"/>
    <w:rsid w:val="28F33BD2"/>
    <w:rsid w:val="29CD724F"/>
    <w:rsid w:val="29D05CC2"/>
    <w:rsid w:val="29F02177"/>
    <w:rsid w:val="2AF35595"/>
    <w:rsid w:val="2B627E31"/>
    <w:rsid w:val="2CDA76DE"/>
    <w:rsid w:val="2CE86F98"/>
    <w:rsid w:val="2D946421"/>
    <w:rsid w:val="2DCD5A87"/>
    <w:rsid w:val="2F7549E3"/>
    <w:rsid w:val="2FA216AD"/>
    <w:rsid w:val="2FB72418"/>
    <w:rsid w:val="33EA5BD2"/>
    <w:rsid w:val="35AE1D1F"/>
    <w:rsid w:val="36EC7C3E"/>
    <w:rsid w:val="383E1315"/>
    <w:rsid w:val="38755BD4"/>
    <w:rsid w:val="3DF02037"/>
    <w:rsid w:val="3E9E560E"/>
    <w:rsid w:val="3EA407C7"/>
    <w:rsid w:val="3F4D471E"/>
    <w:rsid w:val="3FB43F86"/>
    <w:rsid w:val="402D451B"/>
    <w:rsid w:val="407A7E48"/>
    <w:rsid w:val="41313092"/>
    <w:rsid w:val="4171348E"/>
    <w:rsid w:val="429C09DF"/>
    <w:rsid w:val="42D640CA"/>
    <w:rsid w:val="438A4CDB"/>
    <w:rsid w:val="44015A9E"/>
    <w:rsid w:val="448C7851"/>
    <w:rsid w:val="44F13936"/>
    <w:rsid w:val="44FB6B58"/>
    <w:rsid w:val="451313F6"/>
    <w:rsid w:val="45201D13"/>
    <w:rsid w:val="45B14498"/>
    <w:rsid w:val="460A70A5"/>
    <w:rsid w:val="47046B53"/>
    <w:rsid w:val="47176170"/>
    <w:rsid w:val="47281438"/>
    <w:rsid w:val="47694DF5"/>
    <w:rsid w:val="479C7D67"/>
    <w:rsid w:val="48A73C3A"/>
    <w:rsid w:val="48D32C81"/>
    <w:rsid w:val="4A047CB4"/>
    <w:rsid w:val="4B6E79FE"/>
    <w:rsid w:val="4C6B721B"/>
    <w:rsid w:val="4CB52B24"/>
    <w:rsid w:val="4D0111D0"/>
    <w:rsid w:val="4EDB63EB"/>
    <w:rsid w:val="4F52563A"/>
    <w:rsid w:val="50B16A74"/>
    <w:rsid w:val="515558F4"/>
    <w:rsid w:val="51F3660D"/>
    <w:rsid w:val="550A5A33"/>
    <w:rsid w:val="55652881"/>
    <w:rsid w:val="579F72CD"/>
    <w:rsid w:val="593844B6"/>
    <w:rsid w:val="5B7C4AB2"/>
    <w:rsid w:val="5E3873B6"/>
    <w:rsid w:val="5E3D4F96"/>
    <w:rsid w:val="61325CD1"/>
    <w:rsid w:val="6231453C"/>
    <w:rsid w:val="62E573E1"/>
    <w:rsid w:val="644E43F4"/>
    <w:rsid w:val="646627A3"/>
    <w:rsid w:val="64A3350D"/>
    <w:rsid w:val="65317013"/>
    <w:rsid w:val="68BB130F"/>
    <w:rsid w:val="6902643B"/>
    <w:rsid w:val="69425662"/>
    <w:rsid w:val="69642246"/>
    <w:rsid w:val="6991630A"/>
    <w:rsid w:val="6A5512F0"/>
    <w:rsid w:val="6A8F29DC"/>
    <w:rsid w:val="6BB64010"/>
    <w:rsid w:val="6C1103E1"/>
    <w:rsid w:val="6DAF0D17"/>
    <w:rsid w:val="72624D05"/>
    <w:rsid w:val="72B133B9"/>
    <w:rsid w:val="72C76B03"/>
    <w:rsid w:val="73E93056"/>
    <w:rsid w:val="763E17F7"/>
    <w:rsid w:val="772A02AD"/>
    <w:rsid w:val="77850E64"/>
    <w:rsid w:val="791906D8"/>
    <w:rsid w:val="79FE213B"/>
    <w:rsid w:val="7B686F6C"/>
    <w:rsid w:val="7B887941"/>
    <w:rsid w:val="7BB265A2"/>
    <w:rsid w:val="7CEF7382"/>
    <w:rsid w:val="7E5919C5"/>
    <w:rsid w:val="7ED370B5"/>
    <w:rsid w:val="7FF05B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link w:val="12"/>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line="200" w:lineRule="exact"/>
      <w:jc w:val="center"/>
    </w:pPr>
    <w:rPr>
      <w:rFonts w:ascii="方正宋三简体" w:hAnsi="宋体" w:eastAsia="方正宋三简体"/>
      <w:sz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rPr>
  </w:style>
  <w:style w:type="paragraph" w:styleId="8">
    <w:name w:val="Body Text First Indent"/>
    <w:basedOn w:val="4"/>
    <w:qFormat/>
    <w:uiPriority w:val="0"/>
    <w:pPr>
      <w:spacing w:line="240" w:lineRule="auto"/>
      <w:ind w:firstLine="420" w:firstLineChars="100"/>
      <w:jc w:val="both"/>
    </w:pPr>
    <w:rPr>
      <w:b/>
      <w:bCs/>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2 Char"/>
    <w:basedOn w:val="11"/>
    <w:link w:val="3"/>
    <w:qFormat/>
    <w:uiPriority w:val="0"/>
    <w:rPr>
      <w:rFonts w:ascii="宋体" w:hAnsi="宋体"/>
      <w:b/>
      <w:bCs/>
      <w:sz w:val="24"/>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1053</Words>
  <Characters>6003</Characters>
  <Lines>50</Lines>
  <Paragraphs>14</Paragraphs>
  <TotalTime>628</TotalTime>
  <ScaleCrop>false</ScaleCrop>
  <LinksUpToDate>false</LinksUpToDate>
  <CharactersWithSpaces>7042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2024-03-05T01:02:17Z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818535A716344C2E88751E260271550E_13</vt:lpwstr>
  </property>
</Properties>
</file>