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firstLine="0" w:firstLineChars="0"/>
        <w:jc w:val="both"/>
        <w:rPr>
          <w:sz w:val="24"/>
          <w:szCs w:val="32"/>
        </w:rPr>
      </w:pPr>
      <w:r>
        <w:rPr>
          <w:rFonts w:hint="eastAsia"/>
        </w:rPr>
        <w:t>2024年黑龙江省职业教育春季高考林业类专业技能操作考试大纲</w:t>
      </w:r>
    </w:p>
    <w:p>
      <w:pPr>
        <w:pStyle w:val="3"/>
        <w:ind w:firstLine="482"/>
        <w:rPr>
          <w:rFonts w:hint="default"/>
        </w:rPr>
      </w:pPr>
      <w:r>
        <w:t>一、考试依据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1.参照中华人民共和国教育部职业教育与成人教育司颁布的《中等职业学校专业教学标准（试行）》，2017 年 8 月 26 日发布。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2.参照中华人民共和国教育部职业教育与成人教育司颁布的《职业教育专业目录（2021年修订）》；职业教育专业简介（2022年修订）。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3.参照</w:t>
      </w:r>
      <w:r>
        <w:rPr>
          <w:rFonts w:hint="eastAsia"/>
          <w:color w:val="000000" w:themeColor="text1"/>
          <w:szCs w:val="32"/>
        </w:rPr>
        <w:t>林业技能等级证书初、中级职业技能标准、</w:t>
      </w:r>
      <w:r>
        <w:rPr>
          <w:rFonts w:hint="eastAsia"/>
          <w:szCs w:val="32"/>
        </w:rPr>
        <w:t>护林员职业技能等级证书各模块初级认证标准。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4.林业类专业对口涵盖专业范围，如表1所示。</w:t>
      </w:r>
    </w:p>
    <w:p>
      <w:pPr>
        <w:ind w:firstLine="480"/>
        <w:rPr>
          <w:szCs w:val="32"/>
        </w:rPr>
      </w:pPr>
    </w:p>
    <w:p>
      <w:pPr>
        <w:ind w:firstLine="480"/>
        <w:jc w:val="center"/>
        <w:rPr>
          <w:rFonts w:ascii="黑体" w:hAnsi="黑体" w:eastAsia="黑体" w:cs="黑体"/>
          <w:szCs w:val="32"/>
        </w:rPr>
      </w:pPr>
      <w:r>
        <w:rPr>
          <w:rFonts w:hint="eastAsia" w:ascii="黑体" w:hAnsi="黑体" w:eastAsia="黑体" w:cs="黑体"/>
          <w:szCs w:val="32"/>
        </w:rPr>
        <w:t>表1  林业类专业对口涵盖专业范围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中等职业教育相关专业</w:t>
            </w:r>
          </w:p>
        </w:tc>
        <w:tc>
          <w:tcPr>
            <w:tcW w:w="2841" w:type="dxa"/>
            <w:vAlign w:val="center"/>
          </w:tcPr>
          <w:p>
            <w:pPr>
              <w:widowControl/>
              <w:ind w:firstLine="0" w:firstLineChars="0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接续高职专科相关专业</w:t>
            </w:r>
          </w:p>
        </w:tc>
        <w:tc>
          <w:tcPr>
            <w:tcW w:w="2841" w:type="dxa"/>
            <w:vAlign w:val="center"/>
          </w:tcPr>
          <w:p>
            <w:pPr>
              <w:widowControl/>
              <w:ind w:firstLine="422"/>
              <w:rPr>
                <w:rFonts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接续高职本科专业</w:t>
            </w:r>
          </w:p>
          <w:p>
            <w:pPr>
              <w:widowControl/>
              <w:ind w:firstLine="422"/>
              <w:rPr>
                <w:rFonts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1"/>
                <w:szCs w:val="21"/>
              </w:rPr>
              <w:t>接续普通本科专业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  <w:jc w:val="center"/>
        </w:trPr>
        <w:tc>
          <w:tcPr>
            <w:tcW w:w="2840" w:type="dxa"/>
          </w:tcPr>
          <w:p>
            <w:pPr>
              <w:spacing w:line="440" w:lineRule="exact"/>
              <w:ind w:firstLine="0" w:firstLineChars="0"/>
              <w:outlineLvl w:val="0"/>
              <w:rPr>
                <w:rFonts w:ascii="宋体" w:hAnsi="宋体" w:eastAsia="宋体" w:cs="Times New Roman"/>
                <w:bCs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color w:val="000000" w:themeColor="text1"/>
                <w:sz w:val="21"/>
                <w:szCs w:val="21"/>
              </w:rPr>
              <w:t>林业生产技术</w:t>
            </w:r>
            <w:r>
              <w:rPr>
                <w:rFonts w:ascii="宋体" w:hAnsi="宋体" w:eastAsia="宋体" w:cs="Times New Roman"/>
                <w:bCs/>
                <w:color w:val="000000" w:themeColor="text1"/>
                <w:sz w:val="21"/>
                <w:szCs w:val="21"/>
              </w:rPr>
              <w:t>610201</w:t>
            </w:r>
          </w:p>
          <w:p>
            <w:pPr>
              <w:spacing w:line="440" w:lineRule="exact"/>
              <w:ind w:firstLine="0" w:firstLineChars="0"/>
              <w:outlineLvl w:val="0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 w:val="21"/>
                <w:szCs w:val="21"/>
              </w:rPr>
              <w:t>森林资源保护与管理610204</w:t>
            </w:r>
          </w:p>
        </w:tc>
        <w:tc>
          <w:tcPr>
            <w:tcW w:w="2841" w:type="dxa"/>
          </w:tcPr>
          <w:p>
            <w:pPr>
              <w:spacing w:line="440" w:lineRule="exact"/>
              <w:ind w:firstLine="0" w:firstLineChars="0"/>
              <w:outlineLvl w:val="0"/>
              <w:rPr>
                <w:rFonts w:ascii="宋体" w:hAnsi="宋体" w:eastAsia="宋体" w:cs="Times New Roman"/>
                <w:bCs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 w:val="21"/>
                <w:szCs w:val="21"/>
              </w:rPr>
              <w:t>园林技术410202</w:t>
            </w:r>
          </w:p>
          <w:p>
            <w:pPr>
              <w:spacing w:line="440" w:lineRule="exact"/>
              <w:ind w:firstLine="0" w:firstLineChars="0"/>
              <w:outlineLvl w:val="0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宋体" w:hAnsi="宋体" w:eastAsia="宋体" w:cs="Times New Roman"/>
                <w:bCs/>
                <w:sz w:val="21"/>
                <w:szCs w:val="21"/>
              </w:rPr>
              <w:t>森林和草原资源保护410206</w:t>
            </w:r>
          </w:p>
        </w:tc>
        <w:tc>
          <w:tcPr>
            <w:tcW w:w="2841" w:type="dxa"/>
          </w:tcPr>
          <w:p>
            <w:pPr>
              <w:spacing w:line="440" w:lineRule="exact"/>
              <w:ind w:firstLine="0" w:firstLineChars="0"/>
              <w:outlineLvl w:val="0"/>
              <w:rPr>
                <w:rFonts w:ascii="宋体" w:hAnsi="宋体" w:eastAsia="宋体" w:cs="宋体"/>
                <w:color w:val="000000" w:themeColor="text1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</w:rPr>
              <w:t>园林090502</w:t>
            </w:r>
          </w:p>
          <w:p>
            <w:pPr>
              <w:spacing w:line="440" w:lineRule="exact"/>
              <w:ind w:firstLine="0" w:firstLineChars="0"/>
              <w:outlineLvl w:val="0"/>
              <w:rPr>
                <w:rFonts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1"/>
                <w:szCs w:val="21"/>
              </w:rPr>
              <w:t>野生动物与自然保护区管理090202</w:t>
            </w:r>
          </w:p>
        </w:tc>
      </w:tr>
    </w:tbl>
    <w:p>
      <w:pPr>
        <w:ind w:firstLine="480"/>
        <w:rPr>
          <w:rFonts w:ascii="黑体" w:hAnsi="黑体" w:eastAsia="黑体" w:cs="黑体"/>
          <w:szCs w:val="32"/>
        </w:rPr>
      </w:pPr>
    </w:p>
    <w:p>
      <w:pPr>
        <w:pStyle w:val="3"/>
        <w:ind w:firstLine="482"/>
        <w:rPr>
          <w:rFonts w:hint="default"/>
        </w:rPr>
      </w:pPr>
      <w:r>
        <w:t>二、考试方式</w:t>
      </w:r>
    </w:p>
    <w:p>
      <w:pPr>
        <w:ind w:firstLine="480"/>
        <w:rPr>
          <w:szCs w:val="32"/>
        </w:rPr>
      </w:pPr>
      <w:r>
        <w:rPr>
          <w:rFonts w:hint="eastAsia"/>
        </w:rPr>
        <w:t>2024年黑龙江省职业教育春季高考</w:t>
      </w:r>
      <w:r>
        <w:rPr>
          <w:rFonts w:hint="eastAsia"/>
          <w:szCs w:val="32"/>
        </w:rPr>
        <w:t>林业类专业技能考试为实际操作考试方式，考试总分为200分，实操项目随机抽取，考试时间为3</w:t>
      </w:r>
      <w:r>
        <w:rPr>
          <w:szCs w:val="32"/>
        </w:rPr>
        <w:t>0</w:t>
      </w:r>
      <w:r>
        <w:rPr>
          <w:rFonts w:hint="eastAsia"/>
          <w:szCs w:val="32"/>
        </w:rPr>
        <w:t>分钟。</w:t>
      </w:r>
    </w:p>
    <w:p>
      <w:pPr>
        <w:pStyle w:val="3"/>
        <w:ind w:firstLine="482"/>
        <w:rPr>
          <w:rFonts w:hint="default"/>
        </w:rPr>
      </w:pPr>
      <w:r>
        <w:t>三、考试范围和要求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以中等职业教育毕业生从业能力为立足点，实现技能考试内容与中职毕业生从业技能的需要相互兼容，在识记、理解、综合运用各个层面，充分融合专业知识和技能操作的职业技能要素，将专业知识融入技能操作考试内容。</w:t>
      </w:r>
    </w:p>
    <w:p>
      <w:pPr>
        <w:pStyle w:val="3"/>
        <w:ind w:firstLine="482"/>
        <w:rPr>
          <w:rFonts w:hint="default" w:cs="宋体"/>
          <w:color w:val="000000" w:themeColor="text1"/>
        </w:rPr>
      </w:pPr>
      <w:r>
        <w:rPr>
          <w:rFonts w:cs="宋体"/>
          <w:color w:val="000000" w:themeColor="text1"/>
        </w:rPr>
        <w:t>技能模块1  林木分类识别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1.知识与技能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（1）能够熟练识别20种常见树木的科、属分类及名称。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（2）能够准确描述所识别树木生态习性。</w:t>
      </w:r>
    </w:p>
    <w:p>
      <w:pPr>
        <w:widowControl/>
        <w:ind w:firstLine="480"/>
        <w:jc w:val="left"/>
        <w:rPr>
          <w:szCs w:val="32"/>
        </w:rPr>
      </w:pPr>
      <w:r>
        <w:rPr>
          <w:rFonts w:hint="eastAsia"/>
          <w:szCs w:val="32"/>
        </w:rPr>
        <w:t>（3）能够归纳所识别树木的用途。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2.设备与材料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（1）放大镜、记录板。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（2）</w:t>
      </w:r>
      <w:r>
        <w:rPr>
          <w:rFonts w:hint="eastAsia"/>
        </w:rPr>
        <w:t>常见林木植物标本、实物或图片（山楂、碧桃、白桦、樟子松、</w:t>
      </w:r>
      <w:r>
        <w:t>五角枫</w:t>
      </w:r>
      <w:r>
        <w:rPr>
          <w:rFonts w:hint="eastAsia"/>
        </w:rPr>
        <w:t>、</w:t>
      </w:r>
      <w:r>
        <w:t>油松</w:t>
      </w:r>
      <w:r>
        <w:rPr>
          <w:rFonts w:hint="eastAsia"/>
        </w:rPr>
        <w:t>、</w:t>
      </w:r>
      <w:r>
        <w:rPr>
          <w:rFonts w:hint="eastAsia"/>
          <w:szCs w:val="32"/>
        </w:rPr>
        <w:t>云杉、落叶松、椴树、</w:t>
      </w:r>
      <w:r>
        <w:t>胡桃楸</w:t>
      </w:r>
      <w:r>
        <w:rPr>
          <w:rFonts w:hint="eastAsia"/>
        </w:rPr>
        <w:t>、</w:t>
      </w:r>
      <w:r>
        <w:t>暴马丁香</w:t>
      </w:r>
      <w:r>
        <w:rPr>
          <w:rFonts w:hint="eastAsia"/>
        </w:rPr>
        <w:t>、</w:t>
      </w:r>
      <w:r>
        <w:t>水曲柳</w:t>
      </w:r>
      <w:r>
        <w:rPr>
          <w:rFonts w:hint="eastAsia"/>
        </w:rPr>
        <w:t>、</w:t>
      </w:r>
      <w:r>
        <w:t>银杏</w:t>
      </w:r>
      <w:r>
        <w:rPr>
          <w:rFonts w:hint="eastAsia"/>
        </w:rPr>
        <w:t>、</w:t>
      </w:r>
      <w:r>
        <w:t>山桃稠李</w:t>
      </w:r>
      <w:r>
        <w:rPr>
          <w:rFonts w:hint="eastAsia"/>
        </w:rPr>
        <w:t>、</w:t>
      </w:r>
      <w:r>
        <w:t>金叶榆</w:t>
      </w:r>
      <w:r>
        <w:rPr>
          <w:rFonts w:hint="eastAsia"/>
        </w:rPr>
        <w:t>、</w:t>
      </w:r>
      <w:r>
        <w:t>刺槐</w:t>
      </w:r>
      <w:r>
        <w:rPr>
          <w:rFonts w:hint="eastAsia"/>
        </w:rPr>
        <w:t>、金丝垂柳、旱垂柳、金银木、文冠果）。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3.操作规范要求</w:t>
      </w:r>
    </w:p>
    <w:p>
      <w:pPr>
        <w:widowControl/>
        <w:ind w:firstLine="480"/>
        <w:jc w:val="left"/>
        <w:rPr>
          <w:szCs w:val="32"/>
        </w:rPr>
      </w:pPr>
      <w:r>
        <w:rPr>
          <w:rFonts w:hint="eastAsia"/>
          <w:szCs w:val="32"/>
        </w:rPr>
        <w:t>（1）考生应熟悉植物识别的常用技巧，了解不同科属植物的典型特征和区别，准确识别植物的科属。</w:t>
      </w:r>
    </w:p>
    <w:p>
      <w:pPr>
        <w:widowControl/>
        <w:ind w:firstLine="480"/>
        <w:jc w:val="left"/>
        <w:rPr>
          <w:szCs w:val="32"/>
        </w:rPr>
      </w:pPr>
      <w:r>
        <w:rPr>
          <w:rFonts w:hint="eastAsia"/>
          <w:szCs w:val="32"/>
        </w:rPr>
        <w:t>（2）考生能正确归纳描述所识别树木对温度、光照、水分及土壤等的要求。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（3）考核过程中，考核材料因考生原因受到破损等不予重新发放。</w:t>
      </w:r>
    </w:p>
    <w:p>
      <w:pPr>
        <w:pStyle w:val="3"/>
        <w:spacing w:line="240" w:lineRule="auto"/>
        <w:ind w:firstLine="482"/>
        <w:rPr>
          <w:rFonts w:hint="default" w:cs="宋体"/>
          <w:szCs w:val="24"/>
        </w:rPr>
      </w:pPr>
      <w:r>
        <w:rPr>
          <w:rFonts w:cs="宋体"/>
          <w:szCs w:val="24"/>
        </w:rPr>
        <w:t>技能模块2  林木病害识别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1.知识与技能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（1）能正确识别病害类型是真菌性病害还是细菌性病害。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（2）能正确识别病害的病状和病症类型。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（3）能正确答出</w:t>
      </w:r>
      <w:r>
        <w:rPr>
          <w:rFonts w:hint="eastAsia"/>
          <w:szCs w:val="21"/>
        </w:rPr>
        <w:t>病害的名称及病原菌传播习性</w:t>
      </w:r>
      <w:r>
        <w:rPr>
          <w:rFonts w:hint="eastAsia"/>
          <w:szCs w:val="32"/>
        </w:rPr>
        <w:t>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（4）能归纳</w:t>
      </w:r>
      <w:r>
        <w:rPr>
          <w:rFonts w:hint="eastAsia"/>
          <w:szCs w:val="21"/>
        </w:rPr>
        <w:t>病害</w:t>
      </w:r>
      <w:r>
        <w:rPr>
          <w:szCs w:val="21"/>
        </w:rPr>
        <w:t>防治方法</w:t>
      </w:r>
      <w:r>
        <w:rPr>
          <w:rFonts w:hint="eastAsia"/>
          <w:szCs w:val="32"/>
        </w:rPr>
        <w:t>。</w:t>
      </w:r>
    </w:p>
    <w:p>
      <w:pPr>
        <w:ind w:firstLine="480"/>
      </w:pPr>
      <w:r>
        <w:rPr>
          <w:rFonts w:hint="eastAsia"/>
        </w:rPr>
        <w:t>2.设备与材料</w:t>
      </w:r>
    </w:p>
    <w:p>
      <w:pPr>
        <w:ind w:firstLine="480"/>
      </w:pPr>
      <w:r>
        <w:rPr>
          <w:rFonts w:hint="eastAsia"/>
        </w:rPr>
        <w:t>（1）显微镜、放大镜、镊子、培养皿、挑针。</w:t>
      </w:r>
    </w:p>
    <w:p>
      <w:pPr>
        <w:ind w:firstLine="480"/>
      </w:pPr>
      <w:r>
        <w:rPr>
          <w:rFonts w:hint="eastAsia"/>
        </w:rPr>
        <w:t>（2）病害标本（杨叶锈病、松针锈病、</w:t>
      </w:r>
      <w:r>
        <w:rPr>
          <w:szCs w:val="32"/>
        </w:rPr>
        <w:t>枝干腐烂病、溃疡病、枝枯病、轮纹病、流胶病、</w:t>
      </w:r>
      <w:r>
        <w:rPr>
          <w:rFonts w:hint="eastAsia"/>
          <w:szCs w:val="32"/>
        </w:rPr>
        <w:t>根癌病</w:t>
      </w:r>
      <w:r>
        <w:rPr>
          <w:rFonts w:hint="eastAsia"/>
        </w:rPr>
        <w:t>、细菌性叶斑病</w:t>
      </w:r>
      <w:r>
        <w:rPr>
          <w:rFonts w:hint="eastAsia"/>
          <w:szCs w:val="32"/>
        </w:rPr>
        <w:t>等</w:t>
      </w:r>
      <w:r>
        <w:rPr>
          <w:rFonts w:hint="eastAsia"/>
        </w:rPr>
        <w:t>）新鲜标本、挂图。</w:t>
      </w:r>
    </w:p>
    <w:p>
      <w:pPr>
        <w:ind w:firstLine="480"/>
      </w:pPr>
      <w:r>
        <w:rPr>
          <w:rFonts w:hint="eastAsia"/>
        </w:rPr>
        <w:t xml:space="preserve">3.操作规范要求 </w:t>
      </w:r>
    </w:p>
    <w:p>
      <w:pPr>
        <w:ind w:firstLine="480"/>
      </w:pPr>
      <w:r>
        <w:t>（</w:t>
      </w:r>
      <w:r>
        <w:rPr>
          <w:rFonts w:hint="eastAsia"/>
        </w:rPr>
        <w:t>1</w:t>
      </w:r>
      <w:r>
        <w:t>）</w:t>
      </w:r>
      <w:r>
        <w:rPr>
          <w:rFonts w:hint="eastAsia"/>
        </w:rPr>
        <w:t>考生需要仔细观察树木叶片、茎干、花、果实等部位的变化，根据树木被害状具体情况进行判断。</w:t>
      </w:r>
    </w:p>
    <w:p>
      <w:pPr>
        <w:ind w:firstLine="480"/>
      </w:pPr>
      <w:r>
        <w:t>（</w:t>
      </w:r>
      <w:r>
        <w:rPr>
          <w:rFonts w:hint="eastAsia"/>
        </w:rPr>
        <w:t>2</w:t>
      </w:r>
      <w:r>
        <w:t>）</w:t>
      </w:r>
      <w:r>
        <w:rPr>
          <w:rFonts w:hint="eastAsia"/>
          <w:szCs w:val="32"/>
        </w:rPr>
        <w:t>考生需掌握常见的植物病虫害的特征及其相应的防治措施</w:t>
      </w:r>
      <w:r>
        <w:rPr>
          <w:rFonts w:hint="eastAsia"/>
        </w:rPr>
        <w:t>。</w:t>
      </w:r>
    </w:p>
    <w:p>
      <w:pPr>
        <w:ind w:left="480" w:leftChars="200" w:firstLine="0" w:firstLineChars="0"/>
      </w:pPr>
      <w:r>
        <w:t>（</w:t>
      </w:r>
      <w:r>
        <w:rPr>
          <w:rFonts w:hint="eastAsia"/>
        </w:rPr>
        <w:t>3</w:t>
      </w:r>
      <w:r>
        <w:t>）</w:t>
      </w:r>
      <w:r>
        <w:rPr>
          <w:rFonts w:hint="eastAsia"/>
          <w:szCs w:val="32"/>
        </w:rPr>
        <w:t>考生应熟悉常见的病原体和生物学特性，能够进行必要的病原鉴定。</w:t>
      </w:r>
      <w:r>
        <w:rPr>
          <w:rFonts w:hint="eastAsia"/>
        </w:rPr>
        <w:t>（4）</w:t>
      </w:r>
      <w:r>
        <w:rPr>
          <w:rFonts w:hint="eastAsia"/>
          <w:szCs w:val="32"/>
        </w:rPr>
        <w:t>考核过程中，考核材料因考生原因受到破损等不予重新发放</w:t>
      </w:r>
      <w:r>
        <w:rPr>
          <w:rFonts w:hint="eastAsia"/>
        </w:rPr>
        <w:t>。</w:t>
      </w:r>
    </w:p>
    <w:p>
      <w:pPr>
        <w:pStyle w:val="3"/>
        <w:spacing w:line="240" w:lineRule="auto"/>
        <w:ind w:firstLine="482"/>
        <w:rPr>
          <w:rFonts w:hint="default" w:cs="宋体"/>
          <w:szCs w:val="24"/>
        </w:rPr>
      </w:pPr>
      <w:r>
        <w:rPr>
          <w:rFonts w:cs="宋体"/>
          <w:szCs w:val="24"/>
        </w:rPr>
        <w:t>技能模块3  林木害虫识别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1.知识与技能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（1）能正确的识别生物是否为昆虫（或害虫），并回答出害虫目名、科名、种名。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（2）能正确识别害虫的为害状。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（3）能正确描述害虫的习性。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（4）能</w:t>
      </w:r>
      <w:r>
        <w:rPr>
          <w:szCs w:val="21"/>
        </w:rPr>
        <w:t>确定</w:t>
      </w:r>
      <w:r>
        <w:rPr>
          <w:rFonts w:hint="eastAsia"/>
          <w:szCs w:val="21"/>
        </w:rPr>
        <w:t>害虫</w:t>
      </w:r>
      <w:r>
        <w:rPr>
          <w:szCs w:val="21"/>
        </w:rPr>
        <w:t>防治方法</w:t>
      </w:r>
      <w:r>
        <w:rPr>
          <w:rFonts w:hint="eastAsia"/>
          <w:szCs w:val="32"/>
        </w:rPr>
        <w:t>。</w:t>
      </w:r>
    </w:p>
    <w:p>
      <w:pPr>
        <w:ind w:firstLine="480"/>
      </w:pPr>
      <w:r>
        <w:rPr>
          <w:rFonts w:hint="eastAsia"/>
        </w:rPr>
        <w:t>2.设备与材料</w:t>
      </w:r>
    </w:p>
    <w:p>
      <w:pPr>
        <w:ind w:firstLine="480"/>
      </w:pPr>
      <w:r>
        <w:rPr>
          <w:rFonts w:hint="eastAsia"/>
        </w:rPr>
        <w:t>（1）显微镜、放大镜、镊子、培养皿、挑针。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（2）各种林木害虫标本（天牛、小蠹虫、吉丁虫、沟眶象甲、木蠹蛾、红棕象甲、白蚁、透翅蛾类、蜂类等）、新鲜标本、挂图。</w:t>
      </w:r>
    </w:p>
    <w:p>
      <w:pPr>
        <w:ind w:firstLine="480"/>
      </w:pPr>
      <w:r>
        <w:rPr>
          <w:rFonts w:hint="eastAsia"/>
        </w:rPr>
        <w:t xml:space="preserve">3.操作规范要求 </w:t>
      </w:r>
    </w:p>
    <w:p>
      <w:pPr>
        <w:ind w:firstLine="480"/>
      </w:pPr>
      <w:r>
        <w:t>（</w:t>
      </w:r>
      <w:r>
        <w:rPr>
          <w:rFonts w:hint="eastAsia"/>
        </w:rPr>
        <w:t>1</w:t>
      </w:r>
      <w:r>
        <w:t>）</w:t>
      </w:r>
      <w:r>
        <w:rPr>
          <w:rFonts w:hint="eastAsia"/>
        </w:rPr>
        <w:t>考生需要仔细观察树木叶片、茎干、花、果实等部位的变化，根据被害状具体情况进行判断。</w:t>
      </w:r>
    </w:p>
    <w:p>
      <w:pPr>
        <w:ind w:firstLine="480"/>
      </w:pPr>
      <w:r>
        <w:t>（</w:t>
      </w:r>
      <w:r>
        <w:rPr>
          <w:rFonts w:hint="eastAsia"/>
        </w:rPr>
        <w:t>2</w:t>
      </w:r>
      <w:r>
        <w:t>）</w:t>
      </w:r>
      <w:r>
        <w:rPr>
          <w:rFonts w:hint="eastAsia"/>
          <w:szCs w:val="32"/>
        </w:rPr>
        <w:t>考生需掌握常见的植物虫害的特征及其相应的防治措施</w:t>
      </w:r>
      <w:r>
        <w:rPr>
          <w:rFonts w:hint="eastAsia"/>
        </w:rPr>
        <w:t>。</w:t>
      </w:r>
    </w:p>
    <w:p>
      <w:pPr>
        <w:ind w:left="480" w:leftChars="200" w:firstLine="0" w:firstLineChars="0"/>
      </w:pPr>
      <w:r>
        <w:rPr>
          <w:rFonts w:hint="eastAsia"/>
        </w:rPr>
        <w:t>（3）</w:t>
      </w:r>
      <w:r>
        <w:rPr>
          <w:rFonts w:hint="eastAsia"/>
          <w:szCs w:val="32"/>
        </w:rPr>
        <w:t>考核过程中，考核材料因考生原因受到破损等不予重新发放</w:t>
      </w:r>
      <w:r>
        <w:rPr>
          <w:rFonts w:hint="eastAsia"/>
        </w:rPr>
        <w:t>。</w:t>
      </w:r>
    </w:p>
    <w:p>
      <w:pPr>
        <w:spacing w:before="120" w:after="120" w:line="360" w:lineRule="auto"/>
        <w:ind w:firstLine="482"/>
        <w:rPr>
          <w:rFonts w:ascii="宋体" w:hAnsi="宋体" w:eastAsia="宋体" w:cs="宋体"/>
          <w:b/>
          <w:bCs/>
          <w:kern w:val="0"/>
          <w:szCs w:val="21"/>
        </w:rPr>
      </w:pPr>
      <w:r>
        <w:rPr>
          <w:rFonts w:hint="eastAsia" w:ascii="宋体" w:hAnsi="宋体" w:eastAsia="宋体" w:cs="宋体"/>
          <w:b/>
          <w:bCs/>
          <w:kern w:val="0"/>
          <w:szCs w:val="36"/>
        </w:rPr>
        <w:t xml:space="preserve">技能模块4  </w:t>
      </w:r>
      <w:r>
        <w:rPr>
          <w:rFonts w:hint="eastAsia" w:ascii="宋体" w:hAnsi="宋体" w:eastAsia="宋体" w:cs="宋体"/>
          <w:b/>
          <w:bCs/>
          <w:kern w:val="0"/>
          <w:szCs w:val="21"/>
        </w:rPr>
        <w:t>生物显微镜使用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1.知识与技能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</w:t>
      </w:r>
      <w:r>
        <w:rPr>
          <w:rFonts w:hint="eastAsia"/>
        </w:rPr>
        <w:t>熟悉生物显微镜的结构和各个部件的功能，并能正确进行调节光源、镜头转换等技能操作</w:t>
      </w:r>
      <w:r>
        <w:rPr>
          <w:rFonts w:hint="eastAsia"/>
          <w:szCs w:val="32"/>
        </w:rPr>
        <w:t>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（2）</w:t>
      </w:r>
      <w:r>
        <w:rPr>
          <w:rFonts w:hint="eastAsia"/>
        </w:rPr>
        <w:t>根据实验要求，正确制备生物样品，如组织切片、细胞涂片等，保证样品的制作质量及观察质量。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（3）</w:t>
      </w:r>
      <w:r>
        <w:rPr>
          <w:rFonts w:hint="eastAsia"/>
        </w:rPr>
        <w:t>根据观察需求，选择合适的物镜，并通过调节焦距、镜筒位置等操作，使样品能够清晰地显现在视野里</w:t>
      </w:r>
      <w:r>
        <w:rPr>
          <w:rFonts w:hint="eastAsia"/>
          <w:szCs w:val="32"/>
        </w:rPr>
        <w:t xml:space="preserve">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（4）</w:t>
      </w:r>
      <w:r>
        <w:rPr>
          <w:rFonts w:hint="eastAsia"/>
        </w:rPr>
        <w:t>通过调节光源强度、对焦、光圈等，优化观察条件，使样品能够以最佳的清晰度和对比度显示</w:t>
      </w:r>
      <w:r>
        <w:rPr>
          <w:rFonts w:hint="eastAsia"/>
          <w:szCs w:val="32"/>
        </w:rPr>
        <w:t xml:space="preserve">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（5）</w:t>
      </w:r>
      <w:r>
        <w:rPr>
          <w:rFonts w:hint="eastAsia"/>
        </w:rPr>
        <w:t>能准确记录观察结果</w:t>
      </w:r>
      <w:r>
        <w:rPr>
          <w:rFonts w:hint="eastAsia"/>
          <w:szCs w:val="32"/>
        </w:rPr>
        <w:t>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（6）</w:t>
      </w:r>
      <w:r>
        <w:rPr>
          <w:rFonts w:hint="eastAsia"/>
        </w:rPr>
        <w:t>了解生物显微镜的日常维护方法，包括清洁镜头、调节器等，并能按照正确的步骤进行维护和保养</w:t>
      </w:r>
      <w:r>
        <w:rPr>
          <w:rFonts w:hint="eastAsia"/>
          <w:szCs w:val="32"/>
        </w:rPr>
        <w:t xml:space="preserve">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</w:t>
      </w:r>
      <w:r>
        <w:rPr>
          <w:szCs w:val="32"/>
        </w:rPr>
        <w:t>7</w:t>
      </w:r>
      <w:r>
        <w:rPr>
          <w:rFonts w:hint="eastAsia"/>
          <w:szCs w:val="32"/>
        </w:rPr>
        <w:t>）</w:t>
      </w:r>
      <w:r>
        <w:rPr>
          <w:rFonts w:hint="eastAsia"/>
        </w:rPr>
        <w:t>在操作过程中，注意安全规范，如避免镜头损坏、观察时保持适当的距离和角度，不随意调整或拆卸仪器等。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2.设备与材料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</w:t>
      </w:r>
      <w:r>
        <w:rPr>
          <w:rFonts w:hint="eastAsia" w:ascii="方正书宋简体" w:hAnsi="方正书宋简体" w:eastAsia="方正书宋简体" w:cs="方正书宋简体"/>
          <w:szCs w:val="21"/>
        </w:rPr>
        <w:t>显微镜</w:t>
      </w:r>
      <w:r>
        <w:rPr>
          <w:rFonts w:hint="eastAsia"/>
          <w:szCs w:val="32"/>
        </w:rPr>
        <w:t>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（2）</w:t>
      </w:r>
      <w:r>
        <w:rPr>
          <w:rFonts w:hint="eastAsia" w:ascii="方正书宋简体" w:hAnsi="方正书宋简体" w:eastAsia="方正书宋简体" w:cs="方正书宋简体"/>
          <w:szCs w:val="21"/>
        </w:rPr>
        <w:t>玻片：</w:t>
      </w:r>
      <w:r>
        <w:rPr>
          <w:rFonts w:hint="eastAsia"/>
          <w:szCs w:val="21"/>
        </w:rPr>
        <w:t>菊叶表皮装片、洋葱根尖纵切、大丽花叶柄横切</w:t>
      </w:r>
      <w:r>
        <w:rPr>
          <w:rFonts w:hint="eastAsia" w:hAnsi="宋体"/>
          <w:szCs w:val="21"/>
        </w:rPr>
        <w:t>、</w:t>
      </w:r>
      <w:r>
        <w:rPr>
          <w:rFonts w:hint="eastAsia"/>
          <w:szCs w:val="21"/>
        </w:rPr>
        <w:t>洋葱叶表皮装片</w:t>
      </w:r>
      <w:r>
        <w:rPr>
          <w:rFonts w:hint="eastAsia" w:hAnsi="宋体"/>
          <w:szCs w:val="21"/>
        </w:rPr>
        <w:t>、</w:t>
      </w:r>
      <w:r>
        <w:rPr>
          <w:rFonts w:hint="eastAsia"/>
          <w:szCs w:val="21"/>
        </w:rPr>
        <w:t>植物根横切</w:t>
      </w:r>
      <w:r>
        <w:rPr>
          <w:rFonts w:hint="eastAsia" w:hAnsi="宋体"/>
          <w:szCs w:val="21"/>
        </w:rPr>
        <w:t>、</w:t>
      </w:r>
      <w:r>
        <w:rPr>
          <w:rFonts w:hint="eastAsia"/>
          <w:szCs w:val="21"/>
        </w:rPr>
        <w:t>银杏幼果横切</w:t>
      </w:r>
      <w:r>
        <w:rPr>
          <w:rFonts w:hint="eastAsia"/>
          <w:szCs w:val="32"/>
        </w:rPr>
        <w:t>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3.操作规范要求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（1）操作生物显微镜需要遵守实验室卫生安全规定，不得随意丢弃有害物质，如使用过的载玻片和吸管等。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（2）考生需要在考试前熟悉生物显微镜的各项操作。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（3）观察样本时，需要仔细观察目镜是否清晰，若出现不清晰或变形情况，需要及时调整物镜、横移夹及焦距等，以确保清晰可见。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（4）根据题目要求，选择合适的物镜放大倍率。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（5）考生不得在试卷上作任何标记。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（6）观察考核过程中，考核材料因考生原因受到破损等不予重新发放。</w:t>
      </w:r>
    </w:p>
    <w:p>
      <w:pPr>
        <w:ind w:firstLine="480"/>
        <w:rPr>
          <w:rFonts w:ascii="宋体" w:hAnsi="宋体" w:eastAsia="宋体" w:cs="宋体"/>
          <w:b/>
          <w:bCs/>
          <w:kern w:val="0"/>
          <w:szCs w:val="36"/>
        </w:rPr>
      </w:pPr>
      <w:r>
        <w:rPr>
          <w:rFonts w:hint="eastAsia"/>
          <w:szCs w:val="32"/>
        </w:rPr>
        <w:t>（7）考生使用后，需要仔细清洁生物显微镜设备。</w:t>
      </w:r>
    </w:p>
    <w:p>
      <w:pPr>
        <w:spacing w:before="120" w:after="120" w:line="360" w:lineRule="auto"/>
        <w:ind w:firstLine="482"/>
        <w:rPr>
          <w:rFonts w:ascii="宋体" w:hAnsi="宋体" w:eastAsia="宋体" w:cs="宋体"/>
          <w:b/>
          <w:bCs/>
          <w:kern w:val="0"/>
          <w:szCs w:val="21"/>
        </w:rPr>
      </w:pPr>
      <w:r>
        <w:rPr>
          <w:rFonts w:hint="eastAsia" w:ascii="宋体" w:hAnsi="宋体" w:eastAsia="宋体" w:cs="宋体"/>
          <w:b/>
          <w:bCs/>
          <w:kern w:val="0"/>
          <w:szCs w:val="36"/>
        </w:rPr>
        <w:t xml:space="preserve">技能模块5 </w:t>
      </w:r>
      <w:r>
        <w:rPr>
          <w:rFonts w:hint="eastAsia" w:ascii="宋体" w:hAnsi="宋体" w:eastAsia="宋体" w:cs="宋体"/>
          <w:b/>
          <w:bCs/>
          <w:kern w:val="0"/>
          <w:szCs w:val="21"/>
        </w:rPr>
        <w:t>喷雾器使用技术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1.知识与技能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（1）检查喷雾器的各个部件是否完好，进行必要的清洁和调整。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（2）根据农药使用说明书上的配制浓度，计算需要使用的药液量。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（3）按照规定的药液配方和浓度，将农药和适量的水混合搅拌，得到所需的药液。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（4）将配制好的药液倒入喷雾器的容器中，正确调整喷雾器的喷雾角度和喷雾强度，进行喷雾作业。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（5）喷雾作业结束后，对喷雾器进行清洗，彻底清除残留的农药。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（6）在喷雾作业过程中，合理使用农药、遵守相关安全操作规程，保护环境和人员安全。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2.设备与材料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喷雾器、量筒、塑料桶、农药、天平（秤）、防护用具。</w:t>
      </w:r>
    </w:p>
    <w:p>
      <w:pPr>
        <w:ind w:firstLine="480"/>
      </w:pPr>
      <w:r>
        <w:rPr>
          <w:rFonts w:hint="eastAsia"/>
          <w:szCs w:val="32"/>
        </w:rPr>
        <w:t>3.操作规</w:t>
      </w:r>
      <w:r>
        <w:rPr>
          <w:rFonts w:hint="eastAsia"/>
        </w:rPr>
        <w:t>范要求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（1）考生需要在考核前熟悉所用喷雾器的型号、部件和操作方式。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（2）考生应遵守相关的安全操作规定，并佩戴适当的个人防护装备，如手套、口罩、护目镜等。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（3）考生需要掌握调节喷雾器的喷雾量、喷雾角度、喷雾压力等关键技术。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（4）考生应了解不同喷雾剂的特性和用途，并正确搭配喷雾剂。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（5）考生需要掌握喷雾器的喷雾范围和覆盖度。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（6）考生应了解喷雾器的日常维护和保养方法。</w:t>
      </w:r>
    </w:p>
    <w:p>
      <w:pPr>
        <w:ind w:firstLine="480"/>
        <w:rPr>
          <w:rFonts w:ascii="宋体" w:hAnsi="宋体" w:eastAsia="宋体" w:cs="宋体"/>
          <w:b/>
          <w:bCs/>
          <w:kern w:val="0"/>
          <w:szCs w:val="36"/>
        </w:rPr>
      </w:pPr>
      <w:r>
        <w:rPr>
          <w:rFonts w:hint="eastAsia"/>
          <w:szCs w:val="32"/>
        </w:rPr>
        <w:t>（7）考核过程中，考核材料因考生原因受到破损等不予重新发放。</w:t>
      </w:r>
    </w:p>
    <w:p>
      <w:pPr>
        <w:pStyle w:val="3"/>
        <w:ind w:firstLine="482"/>
        <w:rPr>
          <w:rFonts w:hint="default"/>
        </w:rPr>
      </w:pPr>
      <w:r>
        <w:t>技能模块6  查植物检索表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1.知识与技能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</w:t>
      </w:r>
      <w:r>
        <w:rPr>
          <w:rFonts w:hint="eastAsia" w:ascii="方正书宋简体" w:hAnsi="方正书宋简体" w:eastAsia="方正书宋简体" w:cs="方正书宋简体"/>
          <w:szCs w:val="21"/>
        </w:rPr>
        <w:t>描述待鉴定植物的形态特征</w:t>
      </w:r>
      <w:r>
        <w:rPr>
          <w:rFonts w:hint="eastAsia"/>
          <w:szCs w:val="32"/>
        </w:rPr>
        <w:t>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（2）</w:t>
      </w:r>
      <w:r>
        <w:rPr>
          <w:rFonts w:hint="eastAsia" w:ascii="方正书宋简体" w:hAnsi="方正书宋简体" w:eastAsia="方正书宋简体" w:cs="方正书宋简体"/>
          <w:szCs w:val="21"/>
        </w:rPr>
        <w:t>确定植物分类范围</w:t>
      </w:r>
      <w:r>
        <w:rPr>
          <w:rFonts w:hint="eastAsia"/>
          <w:szCs w:val="32"/>
        </w:rPr>
        <w:t>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（3）</w:t>
      </w:r>
      <w:r>
        <w:rPr>
          <w:rFonts w:hint="eastAsia" w:ascii="方正书宋简体" w:hAnsi="方正书宋简体" w:eastAsia="方正书宋简体" w:cs="方正书宋简体"/>
          <w:szCs w:val="21"/>
        </w:rPr>
        <w:t>分科检索</w:t>
      </w:r>
      <w:r>
        <w:rPr>
          <w:rFonts w:hint="eastAsia"/>
          <w:szCs w:val="32"/>
        </w:rPr>
        <w:t>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（3）</w:t>
      </w:r>
      <w:r>
        <w:rPr>
          <w:rFonts w:hint="eastAsia" w:ascii="方正书宋简体" w:hAnsi="方正书宋简体" w:eastAsia="方正书宋简体" w:cs="方正书宋简体"/>
          <w:szCs w:val="21"/>
        </w:rPr>
        <w:t>分属检索</w:t>
      </w:r>
      <w:r>
        <w:rPr>
          <w:rFonts w:hint="eastAsia"/>
          <w:szCs w:val="32"/>
        </w:rPr>
        <w:t>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（4）</w:t>
      </w:r>
      <w:r>
        <w:rPr>
          <w:rFonts w:hint="eastAsia" w:ascii="方正书宋简体" w:hAnsi="方正书宋简体" w:eastAsia="方正书宋简体" w:cs="方正书宋简体"/>
          <w:szCs w:val="21"/>
        </w:rPr>
        <w:t>分种检索</w:t>
      </w:r>
      <w:r>
        <w:rPr>
          <w:rFonts w:hint="eastAsia"/>
          <w:szCs w:val="32"/>
        </w:rPr>
        <w:t>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2.设备与材料 </w:t>
      </w:r>
    </w:p>
    <w:p>
      <w:pPr>
        <w:ind w:firstLine="48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（1）植物标本（</w:t>
      </w:r>
      <w:r>
        <w:rPr>
          <w:rFonts w:hint="eastAsia"/>
          <w:szCs w:val="32"/>
        </w:rPr>
        <w:t>油松、樟子松、黑松、云杉、落叶松、红松、五角枫、茶条槭、复叶槭、元宝枫、旱柳、银中杨、椴树、榆树、山槐、水蜡、紫丁香、暴马丁香、榆叶梅、连翘、白桦、水曲柳、山梨、黄檗）或挂图</w:t>
      </w:r>
      <w:r>
        <w:rPr>
          <w:rFonts w:hint="eastAsia" w:ascii="宋体" w:hAnsi="宋体" w:eastAsia="宋体" w:cs="宋体"/>
        </w:rPr>
        <w:t>。</w:t>
      </w:r>
    </w:p>
    <w:p>
      <w:pPr>
        <w:spacing w:line="360" w:lineRule="exact"/>
        <w:ind w:firstLine="480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（2）植物检索表。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3.操作规范要求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（1）植物形态特征描述专业。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（2）确定植物分类范围正确。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 xml:space="preserve">（3）分科检索准确。 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（4）分属检索正确。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（5）分种检索正确。</w:t>
      </w:r>
    </w:p>
    <w:p>
      <w:pPr>
        <w:pStyle w:val="3"/>
        <w:ind w:firstLine="482"/>
        <w:rPr>
          <w:rFonts w:hint="default"/>
        </w:rPr>
      </w:pPr>
      <w:r>
        <w:t>四、考核项目及权重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结合考试范围给定2024年技能实操考核项目及权重，如表2所示。</w:t>
      </w:r>
    </w:p>
    <w:p>
      <w:pPr>
        <w:ind w:firstLine="480"/>
        <w:jc w:val="center"/>
        <w:rPr>
          <w:color w:val="000000" w:themeColor="text1"/>
          <w:szCs w:val="32"/>
        </w:rPr>
      </w:pPr>
      <w:r>
        <w:rPr>
          <w:rFonts w:hint="eastAsia"/>
          <w:color w:val="000000" w:themeColor="text1"/>
          <w:szCs w:val="32"/>
        </w:rPr>
        <w:t>表2  2024年考核项目及权重</w:t>
      </w:r>
    </w:p>
    <w:tbl>
      <w:tblPr>
        <w:tblStyle w:val="6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"/>
        <w:gridCol w:w="948"/>
        <w:gridCol w:w="833"/>
        <w:gridCol w:w="2831"/>
        <w:gridCol w:w="460"/>
        <w:gridCol w:w="583"/>
        <w:gridCol w:w="2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tblHeader/>
        </w:trPr>
        <w:tc>
          <w:tcPr>
            <w:tcW w:w="268" w:type="pct"/>
            <w:shd w:val="clear" w:color="auto" w:fill="D8D8D8" w:themeFill="background1" w:themeFillShade="D9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b/>
                <w:bCs/>
                <w:color w:val="000000" w:themeColor="text1"/>
              </w:rPr>
            </w:pPr>
            <w:r>
              <w:rPr>
                <w:rFonts w:hint="eastAsia" w:ascii="方正书宋简体" w:hAnsi="方正书宋简体" w:eastAsia="方正书宋简体" w:cs="方正书宋简体"/>
                <w:b/>
                <w:bCs/>
                <w:color w:val="000000" w:themeColor="text1"/>
              </w:rPr>
              <w:t>序号</w:t>
            </w:r>
          </w:p>
        </w:tc>
        <w:tc>
          <w:tcPr>
            <w:tcW w:w="556" w:type="pct"/>
            <w:shd w:val="clear" w:color="auto" w:fill="D8D8D8" w:themeFill="background1" w:themeFillShade="D9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b/>
                <w:bCs/>
                <w:color w:val="000000" w:themeColor="text1"/>
              </w:rPr>
            </w:pPr>
            <w:r>
              <w:rPr>
                <w:rFonts w:hint="eastAsia" w:ascii="方正书宋简体" w:hAnsi="方正书宋简体" w:eastAsia="方正书宋简体" w:cs="方正书宋简体"/>
                <w:b/>
                <w:bCs/>
                <w:color w:val="000000" w:themeColor="text1"/>
              </w:rPr>
              <w:t>考核项目</w:t>
            </w:r>
          </w:p>
        </w:tc>
        <w:tc>
          <w:tcPr>
            <w:tcW w:w="488" w:type="pct"/>
            <w:shd w:val="clear" w:color="auto" w:fill="D8D8D8" w:themeFill="background1" w:themeFillShade="D9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b/>
                <w:bCs/>
                <w:color w:val="000000" w:themeColor="text1"/>
              </w:rPr>
            </w:pPr>
            <w:r>
              <w:rPr>
                <w:rFonts w:hint="eastAsia" w:ascii="方正书宋简体" w:hAnsi="方正书宋简体" w:eastAsia="方正书宋简体" w:cs="方正书宋简体"/>
                <w:b/>
                <w:bCs/>
                <w:color w:val="000000" w:themeColor="text1"/>
              </w:rPr>
              <w:t>考核时间</w:t>
            </w:r>
          </w:p>
        </w:tc>
        <w:tc>
          <w:tcPr>
            <w:tcW w:w="1660" w:type="pct"/>
            <w:shd w:val="clear" w:color="auto" w:fill="D8D8D8" w:themeFill="background1" w:themeFillShade="D9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b/>
                <w:bCs/>
                <w:color w:val="000000" w:themeColor="text1"/>
              </w:rPr>
            </w:pPr>
            <w:r>
              <w:rPr>
                <w:rFonts w:hint="eastAsia" w:ascii="方正书宋简体" w:hAnsi="方正书宋简体" w:eastAsia="方正书宋简体" w:cs="方正书宋简体"/>
                <w:b/>
                <w:bCs/>
                <w:color w:val="000000" w:themeColor="text1"/>
              </w:rPr>
              <w:t>考核内容</w:t>
            </w:r>
          </w:p>
        </w:tc>
        <w:tc>
          <w:tcPr>
            <w:tcW w:w="612" w:type="pct"/>
            <w:gridSpan w:val="2"/>
            <w:shd w:val="clear" w:color="auto" w:fill="D8D8D8" w:themeFill="background1" w:themeFillShade="D9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b/>
                <w:bCs/>
                <w:color w:val="000000" w:themeColor="text1"/>
              </w:rPr>
            </w:pPr>
            <w:r>
              <w:rPr>
                <w:rFonts w:hint="eastAsia" w:ascii="方正书宋简体" w:hAnsi="方正书宋简体" w:eastAsia="方正书宋简体" w:cs="方正书宋简体"/>
                <w:b/>
                <w:bCs/>
                <w:color w:val="000000" w:themeColor="text1"/>
              </w:rPr>
              <w:t>权重</w:t>
            </w:r>
          </w:p>
        </w:tc>
        <w:tc>
          <w:tcPr>
            <w:tcW w:w="1413" w:type="pct"/>
            <w:shd w:val="clear" w:color="auto" w:fill="D8D8D8" w:themeFill="background1" w:themeFillShade="D9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b/>
                <w:bCs/>
                <w:color w:val="000000" w:themeColor="text1"/>
              </w:rPr>
            </w:pPr>
            <w:r>
              <w:rPr>
                <w:rFonts w:hint="eastAsia" w:ascii="方正书宋简体" w:hAnsi="方正书宋简体" w:eastAsia="方正书宋简体" w:cs="方正书宋简体"/>
                <w:b/>
                <w:bCs/>
                <w:color w:val="000000" w:themeColor="text1"/>
              </w:rPr>
              <w:t>器材设备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68" w:type="pct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  <w:r>
              <w:rPr>
                <w:rFonts w:hint="eastAsia" w:ascii="方正书宋简体" w:hAnsi="方正书宋简体" w:eastAsia="方正书宋简体" w:cs="方正书宋简体"/>
                <w:color w:val="000000" w:themeColor="text1"/>
                <w:szCs w:val="21"/>
              </w:rPr>
              <w:t>1</w:t>
            </w:r>
          </w:p>
        </w:tc>
        <w:tc>
          <w:tcPr>
            <w:tcW w:w="556" w:type="pct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  <w:r>
              <w:rPr>
                <w:rFonts w:hint="eastAsia" w:eastAsia="方正书宋简体"/>
                <w:color w:val="000000" w:themeColor="text1"/>
              </w:rPr>
              <w:t>林木分类识别</w:t>
            </w:r>
          </w:p>
        </w:tc>
        <w:tc>
          <w:tcPr>
            <w:tcW w:w="488" w:type="pct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</w:rPr>
              <w:t>30min</w:t>
            </w:r>
          </w:p>
        </w:tc>
        <w:tc>
          <w:tcPr>
            <w:tcW w:w="1660" w:type="pct"/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</w:rPr>
              <w:t>1.识别20种林木，并写明科、属、种名</w:t>
            </w:r>
          </w:p>
        </w:tc>
        <w:tc>
          <w:tcPr>
            <w:tcW w:w="270" w:type="pc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</w:rPr>
              <w:t>60</w:t>
            </w:r>
          </w:p>
        </w:tc>
        <w:tc>
          <w:tcPr>
            <w:tcW w:w="342" w:type="pct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  <w:r>
              <w:rPr>
                <w:rFonts w:hint="eastAsia" w:ascii="方正书宋简体" w:hAnsi="方正书宋简体" w:eastAsia="方正书宋简体" w:cs="方正书宋简体"/>
                <w:color w:val="000000" w:themeColor="text1"/>
                <w:szCs w:val="21"/>
              </w:rPr>
              <w:t>200</w:t>
            </w:r>
          </w:p>
        </w:tc>
        <w:tc>
          <w:tcPr>
            <w:tcW w:w="1413" w:type="pct"/>
            <w:vMerge w:val="restart"/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放大镜、记录板、北方常见林木植物标本、实物枝条或图片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  <w:color w:val="000000" w:themeColor="text1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68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556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488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1660" w:type="pct"/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</w:rPr>
              <w:t>2.写明识别林木的生态习性</w:t>
            </w:r>
          </w:p>
        </w:tc>
        <w:tc>
          <w:tcPr>
            <w:tcW w:w="270" w:type="pc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</w:rPr>
              <w:t>50</w:t>
            </w:r>
          </w:p>
        </w:tc>
        <w:tc>
          <w:tcPr>
            <w:tcW w:w="342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1413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68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556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488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1660" w:type="pct"/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rFonts w:hAnsi="宋体"/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</w:rPr>
              <w:t>3.写明林木的主要用途</w:t>
            </w:r>
          </w:p>
        </w:tc>
        <w:tc>
          <w:tcPr>
            <w:tcW w:w="270" w:type="pc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</w:rPr>
              <w:t>50</w:t>
            </w:r>
          </w:p>
        </w:tc>
        <w:tc>
          <w:tcPr>
            <w:tcW w:w="342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1413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</w:trPr>
        <w:tc>
          <w:tcPr>
            <w:tcW w:w="268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556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488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1660" w:type="pct"/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</w:rPr>
              <w:t>4.卷面</w:t>
            </w:r>
            <w:r>
              <w:rPr>
                <w:color w:val="000000" w:themeColor="text1"/>
              </w:rPr>
              <w:t>完整、清晰、规范</w:t>
            </w:r>
          </w:p>
        </w:tc>
        <w:tc>
          <w:tcPr>
            <w:tcW w:w="270" w:type="pc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</w:rPr>
              <w:t>20</w:t>
            </w:r>
          </w:p>
        </w:tc>
        <w:tc>
          <w:tcPr>
            <w:tcW w:w="342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1413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268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556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488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1660" w:type="pct"/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</w:rPr>
              <w:t>5.</w:t>
            </w:r>
            <w:r>
              <w:rPr>
                <w:color w:val="000000" w:themeColor="text1"/>
              </w:rPr>
              <w:t>规定时间交卷</w:t>
            </w:r>
          </w:p>
        </w:tc>
        <w:tc>
          <w:tcPr>
            <w:tcW w:w="270" w:type="pc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20</w:t>
            </w:r>
          </w:p>
          <w:p>
            <w:pPr>
              <w:spacing w:line="360" w:lineRule="exact"/>
              <w:ind w:firstLine="0" w:firstLineChars="0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342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1413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68" w:type="pct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  <w:r>
              <w:rPr>
                <w:rFonts w:hint="eastAsia" w:ascii="方正书宋简体" w:hAnsi="方正书宋简体" w:eastAsia="方正书宋简体" w:cs="方正书宋简体"/>
                <w:color w:val="000000" w:themeColor="text1"/>
                <w:szCs w:val="21"/>
              </w:rPr>
              <w:t>2</w:t>
            </w:r>
          </w:p>
        </w:tc>
        <w:tc>
          <w:tcPr>
            <w:tcW w:w="556" w:type="pct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  <w:r>
              <w:rPr>
                <w:rFonts w:hint="eastAsia" w:ascii="方正书宋简体" w:hAnsi="方正书宋简体" w:eastAsia="方正书宋简体" w:cs="方正书宋简体"/>
                <w:color w:val="000000" w:themeColor="text1"/>
                <w:szCs w:val="21"/>
              </w:rPr>
              <w:t>林木病害识别</w:t>
            </w:r>
          </w:p>
        </w:tc>
        <w:tc>
          <w:tcPr>
            <w:tcW w:w="488" w:type="pct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</w:rPr>
              <w:t>30min</w:t>
            </w:r>
          </w:p>
        </w:tc>
        <w:tc>
          <w:tcPr>
            <w:tcW w:w="2831" w:type="dxa"/>
          </w:tcPr>
          <w:p>
            <w:pPr>
              <w:ind w:firstLine="0" w:firstLineChars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1.</w:t>
            </w:r>
            <w:r>
              <w:rPr>
                <w:rFonts w:hint="eastAsia"/>
                <w:szCs w:val="32"/>
              </w:rPr>
              <w:t xml:space="preserve">正确识别真菌性病害或细菌性病害 </w:t>
            </w:r>
          </w:p>
        </w:tc>
        <w:tc>
          <w:tcPr>
            <w:tcW w:w="270" w:type="pc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</w:rPr>
              <w:t>4</w:t>
            </w:r>
            <w:r>
              <w:rPr>
                <w:color w:val="000000" w:themeColor="text1"/>
              </w:rPr>
              <w:t>0</w:t>
            </w:r>
          </w:p>
        </w:tc>
        <w:tc>
          <w:tcPr>
            <w:tcW w:w="342" w:type="pct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  <w:r>
              <w:rPr>
                <w:rFonts w:hint="eastAsia" w:ascii="方正书宋简体" w:hAnsi="方正书宋简体" w:eastAsia="方正书宋简体" w:cs="方正书宋简体"/>
                <w:color w:val="000000" w:themeColor="text1"/>
                <w:szCs w:val="21"/>
              </w:rPr>
              <w:t>200</w:t>
            </w:r>
          </w:p>
        </w:tc>
        <w:tc>
          <w:tcPr>
            <w:tcW w:w="1413" w:type="pct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left"/>
            </w:pPr>
            <w:r>
              <w:rPr>
                <w:rFonts w:hint="eastAsia"/>
              </w:rPr>
              <w:t>显微镜、放大镜、镊子、培养皿、挑针</w:t>
            </w:r>
          </w:p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  <w:r>
              <w:rPr>
                <w:rFonts w:hint="eastAsia"/>
              </w:rPr>
              <w:t>杨叶锈病、松针锈病、</w:t>
            </w:r>
            <w:r>
              <w:rPr>
                <w:szCs w:val="32"/>
              </w:rPr>
              <w:t>枝干腐烂病、溃疡病、枝枯病、轮纹病、流胶病、</w:t>
            </w:r>
            <w:r>
              <w:rPr>
                <w:rFonts w:hint="eastAsia"/>
                <w:szCs w:val="32"/>
              </w:rPr>
              <w:t>根癌病</w:t>
            </w:r>
            <w:r>
              <w:rPr>
                <w:rFonts w:hint="eastAsia"/>
              </w:rPr>
              <w:t>、细菌性叶斑病</w:t>
            </w:r>
            <w:r>
              <w:rPr>
                <w:rFonts w:hint="eastAsia"/>
                <w:szCs w:val="32"/>
              </w:rPr>
              <w:t>等</w:t>
            </w:r>
            <w:r>
              <w:rPr>
                <w:rFonts w:hint="eastAsia"/>
              </w:rPr>
              <w:t>新鲜标本、挂图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68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556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488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2831" w:type="dxa"/>
          </w:tcPr>
          <w:p>
            <w:pPr>
              <w:ind w:firstLine="0" w:firstLineChars="0"/>
              <w:rPr>
                <w:color w:val="000000" w:themeColor="text1"/>
              </w:rPr>
            </w:pPr>
            <w:r>
              <w:rPr>
                <w:rFonts w:hint="eastAsia"/>
                <w:szCs w:val="32"/>
              </w:rPr>
              <w:t>2.正确识别病害的病状和病症类型</w:t>
            </w:r>
          </w:p>
        </w:tc>
        <w:tc>
          <w:tcPr>
            <w:tcW w:w="270" w:type="pc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</w:rPr>
              <w:t>4</w:t>
            </w:r>
            <w:r>
              <w:rPr>
                <w:color w:val="000000" w:themeColor="text1"/>
              </w:rPr>
              <w:t>0</w:t>
            </w:r>
          </w:p>
        </w:tc>
        <w:tc>
          <w:tcPr>
            <w:tcW w:w="342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1413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68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556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488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2831" w:type="dxa"/>
          </w:tcPr>
          <w:p>
            <w:pPr>
              <w:ind w:firstLine="0" w:firstLineChars="0"/>
              <w:rPr>
                <w:color w:val="000000" w:themeColor="text1"/>
              </w:rPr>
            </w:pPr>
            <w:r>
              <w:rPr>
                <w:rFonts w:hint="eastAsia"/>
                <w:szCs w:val="32"/>
              </w:rPr>
              <w:t>3.正确答出</w:t>
            </w:r>
            <w:r>
              <w:rPr>
                <w:rFonts w:hint="eastAsia"/>
                <w:szCs w:val="21"/>
              </w:rPr>
              <w:t>病害名称及病原菌传播习性</w:t>
            </w:r>
          </w:p>
        </w:tc>
        <w:tc>
          <w:tcPr>
            <w:tcW w:w="270" w:type="pc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</w:rPr>
              <w:t>4</w:t>
            </w:r>
            <w:r>
              <w:rPr>
                <w:color w:val="000000" w:themeColor="text1"/>
              </w:rPr>
              <w:t>0</w:t>
            </w:r>
          </w:p>
        </w:tc>
        <w:tc>
          <w:tcPr>
            <w:tcW w:w="342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1413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68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556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488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2831" w:type="dxa"/>
          </w:tcPr>
          <w:p>
            <w:pPr>
              <w:ind w:firstLine="0" w:firstLineChars="0"/>
              <w:jc w:val="lef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4.</w:t>
            </w:r>
            <w:r>
              <w:rPr>
                <w:rFonts w:hint="eastAsia"/>
                <w:szCs w:val="21"/>
              </w:rPr>
              <w:t>病害</w:t>
            </w:r>
            <w:r>
              <w:rPr>
                <w:szCs w:val="21"/>
              </w:rPr>
              <w:t>防治方法</w:t>
            </w:r>
          </w:p>
        </w:tc>
        <w:tc>
          <w:tcPr>
            <w:tcW w:w="270" w:type="pc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</w:rPr>
              <w:t>4</w:t>
            </w:r>
            <w:r>
              <w:rPr>
                <w:color w:val="000000" w:themeColor="text1"/>
              </w:rPr>
              <w:t>0</w:t>
            </w:r>
          </w:p>
        </w:tc>
        <w:tc>
          <w:tcPr>
            <w:tcW w:w="342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1413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268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556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488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2831" w:type="dxa"/>
          </w:tcPr>
          <w:p>
            <w:pPr>
              <w:ind w:firstLine="0" w:firstLineChars="0"/>
              <w:jc w:val="lef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5.卷面清晰无涂抹，规定时间交卷</w:t>
            </w:r>
          </w:p>
        </w:tc>
        <w:tc>
          <w:tcPr>
            <w:tcW w:w="270" w:type="pc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4</w:t>
            </w:r>
            <w:r>
              <w:rPr>
                <w:color w:val="000000" w:themeColor="text1"/>
              </w:rPr>
              <w:t>0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342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1413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268" w:type="pct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  <w:r>
              <w:rPr>
                <w:rFonts w:hint="eastAsia" w:ascii="方正书宋简体" w:hAnsi="方正书宋简体" w:eastAsia="方正书宋简体" w:cs="方正书宋简体"/>
                <w:color w:val="000000" w:themeColor="text1"/>
                <w:szCs w:val="21"/>
              </w:rPr>
              <w:t>3</w:t>
            </w:r>
          </w:p>
        </w:tc>
        <w:tc>
          <w:tcPr>
            <w:tcW w:w="556" w:type="pct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  <w:r>
              <w:rPr>
                <w:rFonts w:hint="eastAsia" w:eastAsia="方正书宋简体"/>
                <w:color w:val="000000" w:themeColor="text1"/>
              </w:rPr>
              <w:t>林木害虫识别</w:t>
            </w:r>
          </w:p>
        </w:tc>
        <w:tc>
          <w:tcPr>
            <w:tcW w:w="488" w:type="pct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</w:rPr>
              <w:t>30min</w:t>
            </w:r>
          </w:p>
        </w:tc>
        <w:tc>
          <w:tcPr>
            <w:tcW w:w="1660" w:type="pct"/>
          </w:tcPr>
          <w:p>
            <w:pPr>
              <w:widowControl/>
              <w:ind w:firstLine="0" w:firstLineChars="0"/>
              <w:jc w:val="left"/>
              <w:rPr>
                <w:rFonts w:ascii="方正书宋简体" w:hAnsi="方正书宋简体" w:cs="方正书宋简体"/>
                <w:color w:val="000000" w:themeColor="text1"/>
                <w:szCs w:val="21"/>
              </w:rPr>
            </w:pPr>
            <w:r>
              <w:rPr>
                <w:rFonts w:hint="eastAsia"/>
                <w:szCs w:val="32"/>
              </w:rPr>
              <w:t>1.正确的识别生物是否为昆虫（或害虫），回答害虫目名、科名、种名</w:t>
            </w:r>
          </w:p>
        </w:tc>
        <w:tc>
          <w:tcPr>
            <w:tcW w:w="270" w:type="pct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</w:rPr>
              <w:t>4</w:t>
            </w:r>
            <w:r>
              <w:rPr>
                <w:color w:val="000000" w:themeColor="text1"/>
              </w:rPr>
              <w:t>0</w:t>
            </w:r>
          </w:p>
        </w:tc>
        <w:tc>
          <w:tcPr>
            <w:tcW w:w="342" w:type="pct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  <w:r>
              <w:rPr>
                <w:rFonts w:hint="eastAsia" w:ascii="方正书宋简体" w:hAnsi="方正书宋简体" w:eastAsia="方正书宋简体" w:cs="方正书宋简体"/>
                <w:color w:val="000000" w:themeColor="text1"/>
                <w:szCs w:val="21"/>
              </w:rPr>
              <w:t>200</w:t>
            </w:r>
          </w:p>
        </w:tc>
        <w:tc>
          <w:tcPr>
            <w:tcW w:w="1413" w:type="pct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left"/>
            </w:pPr>
            <w:r>
              <w:rPr>
                <w:rFonts w:hint="eastAsia"/>
              </w:rPr>
              <w:t>显微镜、放大镜、镊子、培养皿、挑针</w:t>
            </w:r>
          </w:p>
          <w:p>
            <w:pPr>
              <w:spacing w:line="360" w:lineRule="exact"/>
              <w:ind w:firstLine="0" w:firstLineChars="0"/>
              <w:jc w:val="left"/>
            </w:pPr>
            <w:r>
              <w:rPr>
                <w:rFonts w:hint="eastAsia"/>
                <w:szCs w:val="32"/>
              </w:rPr>
              <w:t>天牛、小蠹虫、吉丁虫、沟眶象甲、木蠹蛾、红棕象甲、白蚁、透翅蛾类、蜂类等新鲜标本、挂图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268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556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488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1660" w:type="pct"/>
          </w:tcPr>
          <w:p>
            <w:pPr>
              <w:ind w:firstLine="0" w:firstLineChars="0"/>
              <w:rPr>
                <w:color w:val="000000" w:themeColor="text1"/>
              </w:rPr>
            </w:pPr>
            <w:r>
              <w:rPr>
                <w:rFonts w:hint="eastAsia"/>
                <w:szCs w:val="32"/>
              </w:rPr>
              <w:t>2.正确识别或描述害虫的为害状</w:t>
            </w:r>
          </w:p>
        </w:tc>
        <w:tc>
          <w:tcPr>
            <w:tcW w:w="270" w:type="pct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  <w:r>
              <w:rPr>
                <w:color w:val="000000" w:themeColor="text1"/>
              </w:rPr>
              <w:t>40</w:t>
            </w:r>
          </w:p>
        </w:tc>
        <w:tc>
          <w:tcPr>
            <w:tcW w:w="342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1413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268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556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488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1660" w:type="pct"/>
          </w:tcPr>
          <w:p>
            <w:pPr>
              <w:ind w:firstLine="0" w:firstLineChars="0"/>
              <w:rPr>
                <w:rFonts w:ascii="方正书宋简体" w:hAnsi="方正书宋简体" w:cs="方正书宋简体"/>
                <w:color w:val="000000" w:themeColor="text1"/>
                <w:szCs w:val="21"/>
              </w:rPr>
            </w:pPr>
            <w:r>
              <w:rPr>
                <w:rFonts w:hint="eastAsia"/>
                <w:szCs w:val="32"/>
              </w:rPr>
              <w:t>3.正确描述害虫的习性</w:t>
            </w:r>
          </w:p>
        </w:tc>
        <w:tc>
          <w:tcPr>
            <w:tcW w:w="270" w:type="pct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</w:rPr>
              <w:t>4</w:t>
            </w:r>
            <w:r>
              <w:rPr>
                <w:color w:val="000000" w:themeColor="text1"/>
              </w:rPr>
              <w:t>0</w:t>
            </w:r>
          </w:p>
        </w:tc>
        <w:tc>
          <w:tcPr>
            <w:tcW w:w="342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1413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268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556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488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1660" w:type="pct"/>
          </w:tcPr>
          <w:p>
            <w:pPr>
              <w:ind w:firstLine="0" w:firstLineChars="0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  <w:r>
              <w:rPr>
                <w:rFonts w:hint="eastAsia"/>
                <w:szCs w:val="32"/>
              </w:rPr>
              <w:t>4.</w:t>
            </w:r>
            <w:r>
              <w:rPr>
                <w:szCs w:val="21"/>
              </w:rPr>
              <w:t>确定</w:t>
            </w:r>
            <w:r>
              <w:rPr>
                <w:rFonts w:hint="eastAsia"/>
                <w:szCs w:val="21"/>
              </w:rPr>
              <w:t>害虫</w:t>
            </w:r>
            <w:r>
              <w:rPr>
                <w:szCs w:val="21"/>
              </w:rPr>
              <w:t>防治方法</w:t>
            </w:r>
          </w:p>
        </w:tc>
        <w:tc>
          <w:tcPr>
            <w:tcW w:w="270" w:type="pct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</w:rPr>
              <w:t>4</w:t>
            </w:r>
            <w:r>
              <w:rPr>
                <w:color w:val="000000" w:themeColor="text1"/>
              </w:rPr>
              <w:t>0</w:t>
            </w:r>
          </w:p>
        </w:tc>
        <w:tc>
          <w:tcPr>
            <w:tcW w:w="342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1413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268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556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488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1660" w:type="pct"/>
          </w:tcPr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cs="方正书宋简体"/>
                <w:color w:val="000000" w:themeColor="text1"/>
                <w:szCs w:val="21"/>
              </w:rPr>
            </w:pPr>
            <w:r>
              <w:rPr>
                <w:rFonts w:hint="eastAsia"/>
                <w:szCs w:val="32"/>
              </w:rPr>
              <w:t>5.</w:t>
            </w:r>
            <w:r>
              <w:rPr>
                <w:rFonts w:hint="eastAsia"/>
                <w:color w:val="000000" w:themeColor="text1"/>
              </w:rPr>
              <w:t>卷面清晰无涂抹，规定时间交卷</w:t>
            </w:r>
          </w:p>
        </w:tc>
        <w:tc>
          <w:tcPr>
            <w:tcW w:w="270" w:type="pct"/>
          </w:tcPr>
          <w:p>
            <w:pPr>
              <w:spacing w:line="360" w:lineRule="exact"/>
              <w:ind w:firstLine="0" w:firstLineChars="0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4</w:t>
            </w:r>
            <w:r>
              <w:rPr>
                <w:color w:val="000000" w:themeColor="text1"/>
              </w:rPr>
              <w:t>0</w:t>
            </w:r>
          </w:p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342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1413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9" w:hRule="atLeast"/>
        </w:trPr>
        <w:tc>
          <w:tcPr>
            <w:tcW w:w="268" w:type="pct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  <w:r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  <w:t>4</w:t>
            </w:r>
          </w:p>
        </w:tc>
        <w:tc>
          <w:tcPr>
            <w:tcW w:w="556" w:type="pct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  <w:r>
              <w:rPr>
                <w:rFonts w:hint="eastAsia" w:eastAsia="方正书宋简体"/>
                <w:color w:val="000000" w:themeColor="text1"/>
              </w:rPr>
              <w:t>生物显微镜使用</w:t>
            </w:r>
          </w:p>
        </w:tc>
        <w:tc>
          <w:tcPr>
            <w:tcW w:w="488" w:type="pct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  <w:r>
              <w:rPr>
                <w:rFonts w:hint="eastAsia" w:ascii="方正书宋简体" w:hAnsi="方正书宋简体" w:eastAsia="方正书宋简体" w:cs="方正书宋简体"/>
                <w:color w:val="000000" w:themeColor="text1"/>
                <w:szCs w:val="21"/>
              </w:rPr>
              <w:t>3</w:t>
            </w:r>
            <w:r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  <w:t>0</w:t>
            </w:r>
            <w:r>
              <w:rPr>
                <w:rFonts w:hint="eastAsia" w:ascii="方正书宋简体" w:hAnsi="方正书宋简体" w:eastAsia="方正书宋简体" w:cs="方正书宋简体"/>
                <w:color w:val="000000" w:themeColor="text1"/>
                <w:szCs w:val="21"/>
              </w:rPr>
              <w:t>min</w:t>
            </w:r>
          </w:p>
        </w:tc>
        <w:tc>
          <w:tcPr>
            <w:tcW w:w="1660" w:type="pct"/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</w:rPr>
              <w:t>1.考核前仪器检查</w:t>
            </w:r>
          </w:p>
        </w:tc>
        <w:tc>
          <w:tcPr>
            <w:tcW w:w="270" w:type="pc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  <w:r>
              <w:rPr>
                <w:rFonts w:hint="eastAsia" w:eastAsia="方正书宋简体"/>
                <w:color w:val="000000" w:themeColor="text1"/>
              </w:rPr>
              <w:t>30</w:t>
            </w:r>
          </w:p>
        </w:tc>
        <w:tc>
          <w:tcPr>
            <w:tcW w:w="342" w:type="pct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  <w:r>
              <w:rPr>
                <w:rFonts w:hint="eastAsia" w:ascii="方正书宋简体" w:hAnsi="方正书宋简体" w:eastAsia="方正书宋简体" w:cs="方正书宋简体"/>
                <w:color w:val="000000" w:themeColor="text1"/>
                <w:szCs w:val="21"/>
              </w:rPr>
              <w:t>2</w:t>
            </w:r>
            <w:r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  <w:t>00</w:t>
            </w:r>
          </w:p>
        </w:tc>
        <w:tc>
          <w:tcPr>
            <w:tcW w:w="1413" w:type="pct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  <w:color w:val="000000" w:themeColor="text1"/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显微镜、菊叶表皮装片、洋葱根尖纵切、大丽花叶柄横切</w:t>
            </w:r>
            <w:r>
              <w:rPr>
                <w:rFonts w:hint="eastAsia" w:hAnsi="宋体"/>
                <w:szCs w:val="21"/>
              </w:rPr>
              <w:t>、</w:t>
            </w:r>
            <w:r>
              <w:rPr>
                <w:rFonts w:hint="eastAsia"/>
                <w:szCs w:val="21"/>
              </w:rPr>
              <w:t>洋葱叶表皮装片</w:t>
            </w:r>
            <w:r>
              <w:rPr>
                <w:rFonts w:hint="eastAsia" w:hAnsi="宋体"/>
                <w:szCs w:val="21"/>
              </w:rPr>
              <w:t>、</w:t>
            </w:r>
            <w:r>
              <w:rPr>
                <w:rFonts w:hint="eastAsia"/>
                <w:szCs w:val="21"/>
              </w:rPr>
              <w:t>植物根横切</w:t>
            </w:r>
            <w:r>
              <w:rPr>
                <w:rFonts w:hint="eastAsia" w:hAnsi="宋体"/>
                <w:szCs w:val="21"/>
              </w:rPr>
              <w:t>、</w:t>
            </w:r>
            <w:r>
              <w:rPr>
                <w:rFonts w:hint="eastAsia"/>
                <w:szCs w:val="21"/>
              </w:rPr>
              <w:t>银杏幼果横切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268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556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488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1660" w:type="pct"/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</w:rPr>
              <w:t>2.样品准备</w:t>
            </w:r>
          </w:p>
        </w:tc>
        <w:tc>
          <w:tcPr>
            <w:tcW w:w="270" w:type="pc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  <w:r>
              <w:rPr>
                <w:rFonts w:hint="eastAsia" w:eastAsia="方正书宋简体"/>
                <w:color w:val="000000" w:themeColor="text1"/>
              </w:rPr>
              <w:t>20</w:t>
            </w:r>
          </w:p>
        </w:tc>
        <w:tc>
          <w:tcPr>
            <w:tcW w:w="342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1413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268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556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488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1660" w:type="pct"/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</w:rPr>
              <w:t>3.物镜选择和调整</w:t>
            </w:r>
          </w:p>
        </w:tc>
        <w:tc>
          <w:tcPr>
            <w:tcW w:w="270" w:type="pc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</w:rPr>
              <w:t>40</w:t>
            </w:r>
          </w:p>
        </w:tc>
        <w:tc>
          <w:tcPr>
            <w:tcW w:w="342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1413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268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556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488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1660" w:type="pct"/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</w:rPr>
              <w:t>4.观察调节</w:t>
            </w:r>
          </w:p>
        </w:tc>
        <w:tc>
          <w:tcPr>
            <w:tcW w:w="270" w:type="pc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</w:rPr>
              <w:t>40</w:t>
            </w:r>
          </w:p>
        </w:tc>
        <w:tc>
          <w:tcPr>
            <w:tcW w:w="342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1413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268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556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488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1660" w:type="pct"/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</w:rPr>
              <w:t>5.记录</w:t>
            </w:r>
          </w:p>
        </w:tc>
        <w:tc>
          <w:tcPr>
            <w:tcW w:w="270" w:type="pc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</w:rPr>
              <w:t>30</w:t>
            </w:r>
          </w:p>
        </w:tc>
        <w:tc>
          <w:tcPr>
            <w:tcW w:w="342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1413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0" w:hRule="atLeast"/>
        </w:trPr>
        <w:tc>
          <w:tcPr>
            <w:tcW w:w="268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556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488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1660" w:type="pct"/>
            <w:vAlign w:val="center"/>
          </w:tcPr>
          <w:p>
            <w:pPr>
              <w:spacing w:line="320" w:lineRule="exact"/>
              <w:ind w:firstLine="0" w:firstLineChars="0"/>
              <w:jc w:val="lef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6.仪器维护和清洁</w:t>
            </w:r>
          </w:p>
        </w:tc>
        <w:tc>
          <w:tcPr>
            <w:tcW w:w="270" w:type="pc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</w:rPr>
              <w:t>40</w:t>
            </w:r>
          </w:p>
        </w:tc>
        <w:tc>
          <w:tcPr>
            <w:tcW w:w="342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1413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68" w:type="pct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  <w:r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  <w:t>5</w:t>
            </w:r>
          </w:p>
        </w:tc>
        <w:tc>
          <w:tcPr>
            <w:tcW w:w="556" w:type="pct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  <w:r>
              <w:rPr>
                <w:rFonts w:hint="eastAsia" w:eastAsia="方正书宋简体"/>
                <w:color w:val="000000" w:themeColor="text1"/>
              </w:rPr>
              <w:t>喷雾器使用技术</w:t>
            </w:r>
          </w:p>
        </w:tc>
        <w:tc>
          <w:tcPr>
            <w:tcW w:w="488" w:type="pct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30min</w:t>
            </w:r>
          </w:p>
        </w:tc>
        <w:tc>
          <w:tcPr>
            <w:tcW w:w="1660" w:type="pct"/>
          </w:tcPr>
          <w:p>
            <w:pPr>
              <w:spacing w:line="360" w:lineRule="exact"/>
              <w:ind w:firstLine="0" w:firstLineChars="0"/>
              <w:jc w:val="left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1.正确佩戴防护用具</w:t>
            </w:r>
          </w:p>
        </w:tc>
        <w:tc>
          <w:tcPr>
            <w:tcW w:w="270" w:type="pc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</w:rPr>
              <w:t>20</w:t>
            </w:r>
          </w:p>
        </w:tc>
        <w:tc>
          <w:tcPr>
            <w:tcW w:w="342" w:type="pct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  <w:r>
              <w:rPr>
                <w:rFonts w:hint="eastAsia" w:ascii="方正书宋简体" w:hAnsi="方正书宋简体" w:eastAsia="方正书宋简体" w:cs="方正书宋简体"/>
                <w:color w:val="000000" w:themeColor="text1"/>
                <w:szCs w:val="21"/>
              </w:rPr>
              <w:t>2</w:t>
            </w:r>
            <w:r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  <w:t>00</w:t>
            </w:r>
          </w:p>
        </w:tc>
        <w:tc>
          <w:tcPr>
            <w:tcW w:w="1413" w:type="pct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防护用具、喷雾器、量筒、塑料桶、农药、天平（秤）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68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556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488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1660" w:type="pct"/>
          </w:tcPr>
          <w:p>
            <w:pPr>
              <w:spacing w:line="360" w:lineRule="exact"/>
              <w:ind w:firstLine="0" w:firstLineChars="0"/>
              <w:jc w:val="left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</w:rPr>
              <w:t>2.喷雾器检查</w:t>
            </w:r>
          </w:p>
        </w:tc>
        <w:tc>
          <w:tcPr>
            <w:tcW w:w="270" w:type="pc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</w:rPr>
              <w:t>40</w:t>
            </w:r>
          </w:p>
        </w:tc>
        <w:tc>
          <w:tcPr>
            <w:tcW w:w="342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1413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68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556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488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1660" w:type="pct"/>
          </w:tcPr>
          <w:p>
            <w:pPr>
              <w:spacing w:line="360" w:lineRule="exact"/>
              <w:ind w:firstLine="0" w:firstLineChars="0"/>
              <w:jc w:val="left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</w:rPr>
              <w:t>3.根据配制浓度，计算用药量，</w:t>
            </w:r>
            <w:r>
              <w:rPr>
                <w:rFonts w:hint="eastAsia" w:ascii="宋体" w:hAnsi="宋体"/>
                <w:szCs w:val="21"/>
              </w:rPr>
              <w:t>正确、熟练使用量杯准确称量药剂</w:t>
            </w:r>
          </w:p>
        </w:tc>
        <w:tc>
          <w:tcPr>
            <w:tcW w:w="270" w:type="pc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</w:rPr>
              <w:t>40</w:t>
            </w:r>
          </w:p>
        </w:tc>
        <w:tc>
          <w:tcPr>
            <w:tcW w:w="342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1413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68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556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488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1660" w:type="pct"/>
          </w:tcPr>
          <w:p>
            <w:pPr>
              <w:spacing w:line="360" w:lineRule="exact"/>
              <w:ind w:firstLine="0" w:firstLineChars="0"/>
              <w:jc w:val="left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</w:rPr>
              <w:t>4.逐级稀释配制药液</w:t>
            </w:r>
          </w:p>
        </w:tc>
        <w:tc>
          <w:tcPr>
            <w:tcW w:w="270" w:type="pc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40</w:t>
            </w:r>
          </w:p>
        </w:tc>
        <w:tc>
          <w:tcPr>
            <w:tcW w:w="342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1413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68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556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488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1660" w:type="pct"/>
          </w:tcPr>
          <w:p>
            <w:pPr>
              <w:spacing w:line="360" w:lineRule="exact"/>
              <w:ind w:firstLine="0" w:firstLineChars="0"/>
              <w:jc w:val="left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</w:rPr>
              <w:t>5.喷雾操作</w:t>
            </w:r>
          </w:p>
        </w:tc>
        <w:tc>
          <w:tcPr>
            <w:tcW w:w="270" w:type="pc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</w:rPr>
              <w:t>30</w:t>
            </w:r>
          </w:p>
        </w:tc>
        <w:tc>
          <w:tcPr>
            <w:tcW w:w="342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1413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68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556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488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1660" w:type="pct"/>
          </w:tcPr>
          <w:p>
            <w:pPr>
              <w:spacing w:line="360" w:lineRule="exact"/>
              <w:ind w:firstLine="0" w:firstLineChars="0"/>
              <w:jc w:val="left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6.喷雾器清洗</w:t>
            </w:r>
          </w:p>
        </w:tc>
        <w:tc>
          <w:tcPr>
            <w:tcW w:w="270" w:type="pc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20</w:t>
            </w:r>
          </w:p>
        </w:tc>
        <w:tc>
          <w:tcPr>
            <w:tcW w:w="342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1413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68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556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488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1660" w:type="pct"/>
          </w:tcPr>
          <w:p>
            <w:pPr>
              <w:spacing w:line="360" w:lineRule="exact"/>
              <w:ind w:firstLine="0" w:firstLineChars="0"/>
              <w:jc w:val="left"/>
              <w:rPr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  <w:szCs w:val="21"/>
              </w:rPr>
              <w:t>7.用品整理，</w:t>
            </w:r>
            <w:r>
              <w:rPr>
                <w:rFonts w:hint="eastAsia"/>
                <w:color w:val="000000" w:themeColor="text1"/>
              </w:rPr>
              <w:t>将防护用具、药品、喷雾器等物品归于原处</w:t>
            </w:r>
          </w:p>
        </w:tc>
        <w:tc>
          <w:tcPr>
            <w:tcW w:w="270" w:type="pc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</w:rPr>
              <w:t>10</w:t>
            </w:r>
          </w:p>
        </w:tc>
        <w:tc>
          <w:tcPr>
            <w:tcW w:w="342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1413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68" w:type="pct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  <w:r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  <w:t>6</w:t>
            </w:r>
          </w:p>
        </w:tc>
        <w:tc>
          <w:tcPr>
            <w:tcW w:w="556" w:type="pct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  <w:r>
              <w:rPr>
                <w:rFonts w:hint="eastAsia" w:ascii="方正书宋简体" w:hAnsi="方正书宋简体" w:eastAsia="方正书宋简体" w:cs="方正书宋简体"/>
                <w:color w:val="000000" w:themeColor="text1"/>
                <w:szCs w:val="21"/>
              </w:rPr>
              <w:t>查植物检索表</w:t>
            </w:r>
          </w:p>
        </w:tc>
        <w:tc>
          <w:tcPr>
            <w:tcW w:w="488" w:type="pct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  <w:r>
              <w:rPr>
                <w:rFonts w:hint="eastAsia" w:ascii="方正书宋简体" w:hAnsi="方正书宋简体" w:eastAsia="方正书宋简体" w:cs="方正书宋简体"/>
                <w:color w:val="000000" w:themeColor="text1"/>
                <w:szCs w:val="21"/>
              </w:rPr>
              <w:t>30min</w:t>
            </w:r>
          </w:p>
        </w:tc>
        <w:tc>
          <w:tcPr>
            <w:tcW w:w="2831" w:type="dxa"/>
            <w:vAlign w:val="center"/>
          </w:tcPr>
          <w:p>
            <w:pPr>
              <w:ind w:firstLine="0" w:firstLineChars="0"/>
              <w:rPr>
                <w:color w:val="000000" w:themeColor="text1"/>
                <w:szCs w:val="21"/>
              </w:rPr>
            </w:pPr>
            <w:r>
              <w:rPr>
                <w:rFonts w:ascii="Times New Roman" w:hAnsi="Times New Roman" w:eastAsia="宋体" w:cs="Times New Roman"/>
              </w:rPr>
              <w:t>1</w:t>
            </w:r>
            <w:r>
              <w:rPr>
                <w:rFonts w:hint="eastAsia" w:ascii="Times New Roman" w:hAnsi="Times New Roman" w:eastAsia="宋体" w:cs="Times New Roman"/>
              </w:rPr>
              <w:t>.</w:t>
            </w:r>
            <w:r>
              <w:rPr>
                <w:rFonts w:ascii="Times New Roman" w:hAnsi="Times New Roman" w:eastAsia="宋体" w:cs="Times New Roman"/>
              </w:rPr>
              <w:t>描述待鉴定植物的形态特征</w:t>
            </w:r>
          </w:p>
        </w:tc>
        <w:tc>
          <w:tcPr>
            <w:tcW w:w="270" w:type="pc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  <w:r>
              <w:rPr>
                <w:rFonts w:hint="eastAsia" w:eastAsia="方正书宋简体"/>
                <w:color w:val="000000" w:themeColor="text1"/>
              </w:rPr>
              <w:t>40</w:t>
            </w:r>
          </w:p>
        </w:tc>
        <w:tc>
          <w:tcPr>
            <w:tcW w:w="342" w:type="pct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  <w:r>
              <w:rPr>
                <w:rFonts w:hint="eastAsia" w:ascii="方正书宋简体" w:hAnsi="方正书宋简体" w:eastAsia="方正书宋简体" w:cs="方正书宋简体"/>
                <w:color w:val="000000" w:themeColor="text1"/>
                <w:szCs w:val="21"/>
              </w:rPr>
              <w:t>2</w:t>
            </w:r>
            <w:r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  <w:t>00</w:t>
            </w:r>
          </w:p>
        </w:tc>
        <w:tc>
          <w:tcPr>
            <w:tcW w:w="1413" w:type="pct"/>
            <w:vMerge w:val="restart"/>
            <w:vAlign w:val="center"/>
          </w:tcPr>
          <w:p>
            <w:pPr>
              <w:spacing w:line="360" w:lineRule="exact"/>
              <w:ind w:firstLine="0" w:firstLineChars="0"/>
              <w:jc w:val="left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  <w:r>
              <w:rPr>
                <w:rFonts w:hint="eastAsia" w:ascii="方正书宋简体" w:hAnsi="方正书宋简体" w:eastAsia="方正书宋简体" w:cs="方正书宋简体"/>
                <w:szCs w:val="21"/>
              </w:rPr>
              <w:t>东北常见植物检索表、10种当地植物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68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556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488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2831" w:type="dxa"/>
            <w:vAlign w:val="center"/>
          </w:tcPr>
          <w:p>
            <w:pPr>
              <w:ind w:firstLine="0" w:firstLineChars="0"/>
              <w:rPr>
                <w:rFonts w:hAnsi="宋体"/>
                <w:color w:val="000000" w:themeColor="text1"/>
                <w:szCs w:val="21"/>
              </w:rPr>
            </w:pPr>
            <w:r>
              <w:rPr>
                <w:rFonts w:ascii="Times New Roman" w:hAnsi="Times New Roman" w:eastAsia="宋体" w:cs="Times New Roman"/>
              </w:rPr>
              <w:t>2</w:t>
            </w:r>
            <w:r>
              <w:rPr>
                <w:rFonts w:hint="eastAsia" w:ascii="Times New Roman" w:hAnsi="Times New Roman" w:eastAsia="宋体" w:cs="Times New Roman"/>
              </w:rPr>
              <w:t>.</w:t>
            </w:r>
            <w:r>
              <w:rPr>
                <w:rFonts w:ascii="Times New Roman" w:hAnsi="Times New Roman" w:eastAsia="宋体" w:cs="Times New Roman"/>
              </w:rPr>
              <w:t>确定植物分类范围</w:t>
            </w:r>
          </w:p>
        </w:tc>
        <w:tc>
          <w:tcPr>
            <w:tcW w:w="270" w:type="pc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cs="方正书宋简体"/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</w:rPr>
              <w:t>40</w:t>
            </w:r>
          </w:p>
        </w:tc>
        <w:tc>
          <w:tcPr>
            <w:tcW w:w="342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1413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68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556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488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2831" w:type="dxa"/>
            <w:vAlign w:val="center"/>
          </w:tcPr>
          <w:p>
            <w:pPr>
              <w:ind w:firstLine="0" w:firstLineChars="0"/>
              <w:rPr>
                <w:rFonts w:hAnsi="宋体"/>
                <w:color w:val="000000" w:themeColor="text1"/>
                <w:szCs w:val="21"/>
              </w:rPr>
            </w:pPr>
            <w:r>
              <w:rPr>
                <w:rFonts w:ascii="Times New Roman" w:hAnsi="Times New Roman" w:eastAsia="宋体" w:cs="Times New Roman"/>
              </w:rPr>
              <w:t>3</w:t>
            </w:r>
            <w:r>
              <w:rPr>
                <w:rFonts w:hint="eastAsia" w:ascii="Times New Roman" w:hAnsi="Times New Roman" w:eastAsia="宋体" w:cs="Times New Roman"/>
              </w:rPr>
              <w:t>.</w:t>
            </w:r>
            <w:r>
              <w:rPr>
                <w:rFonts w:ascii="Times New Roman" w:hAnsi="Times New Roman" w:eastAsia="宋体" w:cs="Times New Roman"/>
              </w:rPr>
              <w:t>分科检索</w:t>
            </w:r>
          </w:p>
        </w:tc>
        <w:tc>
          <w:tcPr>
            <w:tcW w:w="270" w:type="pc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</w:rPr>
              <w:t>40</w:t>
            </w:r>
          </w:p>
        </w:tc>
        <w:tc>
          <w:tcPr>
            <w:tcW w:w="342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1413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68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556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488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2831" w:type="dxa"/>
            <w:vAlign w:val="center"/>
          </w:tcPr>
          <w:p>
            <w:pPr>
              <w:ind w:firstLine="0" w:firstLineChars="0"/>
              <w:rPr>
                <w:rFonts w:hAnsi="宋体"/>
                <w:color w:val="000000" w:themeColor="text1"/>
                <w:szCs w:val="21"/>
              </w:rPr>
            </w:pPr>
            <w:r>
              <w:rPr>
                <w:rFonts w:ascii="Times New Roman" w:hAnsi="Times New Roman" w:eastAsia="宋体" w:cs="Times New Roman"/>
              </w:rPr>
              <w:t>4</w:t>
            </w:r>
            <w:r>
              <w:rPr>
                <w:rFonts w:hint="eastAsia" w:ascii="Times New Roman" w:hAnsi="Times New Roman" w:eastAsia="宋体" w:cs="Times New Roman"/>
              </w:rPr>
              <w:t>.</w:t>
            </w:r>
            <w:r>
              <w:rPr>
                <w:rFonts w:ascii="Times New Roman" w:hAnsi="Times New Roman" w:eastAsia="宋体" w:cs="Times New Roman"/>
              </w:rPr>
              <w:t>分属检索</w:t>
            </w:r>
          </w:p>
        </w:tc>
        <w:tc>
          <w:tcPr>
            <w:tcW w:w="270" w:type="pc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</w:rPr>
              <w:t>40</w:t>
            </w:r>
          </w:p>
        </w:tc>
        <w:tc>
          <w:tcPr>
            <w:tcW w:w="342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1413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268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556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488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2831" w:type="dxa"/>
            <w:vAlign w:val="center"/>
          </w:tcPr>
          <w:p>
            <w:pPr>
              <w:ind w:firstLine="0" w:firstLineChars="0"/>
              <w:rPr>
                <w:color w:val="000000" w:themeColor="text1"/>
                <w:szCs w:val="21"/>
              </w:rPr>
            </w:pPr>
            <w:r>
              <w:rPr>
                <w:rFonts w:ascii="Times New Roman" w:hAnsi="Times New Roman" w:eastAsia="宋体" w:cs="Times New Roman"/>
              </w:rPr>
              <w:t>5</w:t>
            </w:r>
            <w:r>
              <w:rPr>
                <w:rFonts w:hint="eastAsia" w:ascii="Times New Roman" w:hAnsi="Times New Roman" w:eastAsia="宋体" w:cs="Times New Roman"/>
              </w:rPr>
              <w:t>.</w:t>
            </w:r>
            <w:r>
              <w:rPr>
                <w:rFonts w:ascii="Times New Roman" w:hAnsi="Times New Roman" w:eastAsia="宋体" w:cs="Times New Roman"/>
              </w:rPr>
              <w:t>分种检索</w:t>
            </w:r>
          </w:p>
        </w:tc>
        <w:tc>
          <w:tcPr>
            <w:tcW w:w="270" w:type="pct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  <w:r>
              <w:rPr>
                <w:rFonts w:hint="eastAsia"/>
                <w:color w:val="000000" w:themeColor="text1"/>
              </w:rPr>
              <w:t>40</w:t>
            </w:r>
          </w:p>
        </w:tc>
        <w:tc>
          <w:tcPr>
            <w:tcW w:w="342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  <w:tc>
          <w:tcPr>
            <w:tcW w:w="1413" w:type="pct"/>
            <w:vMerge w:val="continue"/>
            <w:vAlign w:val="center"/>
          </w:tcPr>
          <w:p>
            <w:pPr>
              <w:spacing w:line="360" w:lineRule="exact"/>
              <w:ind w:firstLine="0" w:firstLineChars="0"/>
              <w:jc w:val="center"/>
              <w:rPr>
                <w:rFonts w:ascii="方正书宋简体" w:hAnsi="方正书宋简体" w:eastAsia="方正书宋简体" w:cs="方正书宋简体"/>
                <w:color w:val="000000" w:themeColor="text1"/>
                <w:szCs w:val="21"/>
              </w:rPr>
            </w:pPr>
          </w:p>
        </w:tc>
      </w:tr>
    </w:tbl>
    <w:p>
      <w:pPr>
        <w:pStyle w:val="3"/>
        <w:spacing w:line="240" w:lineRule="auto"/>
        <w:ind w:firstLine="482"/>
        <w:rPr>
          <w:rFonts w:hint="default" w:ascii="Times New Roman" w:hAnsi="Times New Roman"/>
        </w:rPr>
      </w:pPr>
      <w:r>
        <w:rPr>
          <w:rFonts w:hint="default"/>
        </w:rPr>
        <w:t>五、</w:t>
      </w:r>
      <w:r>
        <w:t>考试大纲</w:t>
      </w:r>
      <w:r>
        <w:rPr>
          <w:rFonts w:hint="default"/>
        </w:rPr>
        <w:t>编</w:t>
      </w:r>
      <w:r>
        <w:t>制</w:t>
      </w:r>
      <w:r>
        <w:rPr>
          <w:rFonts w:hint="default"/>
        </w:rPr>
        <w:t>说明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1.考试大纲编制原则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遵循专业基础知识和岗位核心能力相结合原则，选取典型专业技能项目，将专业知识融入技能操作，考查技能训练教学效果，考核学生职业岗位工作过程；兼顾中等职业学校林业类各专业教学标准和技术新标准，选取通用知识与技能作为考核项目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2.考试大纲适用专业</w:t>
      </w:r>
    </w:p>
    <w:p>
      <w:pPr>
        <w:widowControl/>
        <w:ind w:firstLine="480"/>
        <w:jc w:val="left"/>
      </w:pPr>
      <w:r>
        <w:rPr>
          <w:rFonts w:hint="eastAsia"/>
        </w:rPr>
        <w:t>本考试大纲适用于中等职业学校</w:t>
      </w:r>
      <w:r>
        <w:rPr>
          <w:rFonts w:hint="eastAsia" w:ascii="Times New Roman" w:hAnsi="Times New Roman" w:eastAsia="宋体" w:cs="Times New Roman"/>
          <w:kern w:val="0"/>
        </w:rPr>
        <w:t>林业生产技术、</w:t>
      </w:r>
      <w:r>
        <w:rPr>
          <w:rFonts w:hint="eastAsia" w:ascii="宋体" w:hAnsi="宋体" w:eastAsia="宋体" w:cs="Times New Roman"/>
          <w:bCs/>
        </w:rPr>
        <w:t>森林资源保护与管理</w:t>
      </w:r>
      <w:r>
        <w:rPr>
          <w:rFonts w:hint="eastAsia" w:ascii="Times New Roman" w:hAnsi="Times New Roman" w:eastAsia="宋体" w:cs="Times New Roman"/>
          <w:kern w:val="0"/>
        </w:rPr>
        <w:t>专业</w:t>
      </w:r>
      <w:r>
        <w:rPr>
          <w:rFonts w:hint="eastAsia"/>
        </w:rPr>
        <w:t>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3.教学内容及实施建议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（1）考纲对应教学内容，全面考核中等职业学校林业类专业学生的林木分类识别、植物科目检索、林木病虫害识别与防治、生物</w:t>
      </w:r>
      <w:r>
        <w:rPr>
          <w:rFonts w:hint="eastAsia" w:ascii="Times New Roman" w:hAnsi="Times New Roman" w:cs="Times New Roman"/>
        </w:rPr>
        <w:t>显微镜使用、喷雾器使用</w:t>
      </w:r>
      <w:r>
        <w:rPr>
          <w:rFonts w:hint="eastAsia"/>
          <w:szCs w:val="32"/>
        </w:rPr>
        <w:t>等相关</w:t>
      </w:r>
      <w:r>
        <w:rPr>
          <w:rFonts w:hint="eastAsia" w:ascii="Times New Roman" w:hAnsi="Times New Roman" w:cs="Times New Roman"/>
        </w:rPr>
        <w:t>方面的能力</w:t>
      </w:r>
      <w:r>
        <w:rPr>
          <w:rFonts w:hint="eastAsia"/>
          <w:szCs w:val="32"/>
        </w:rPr>
        <w:t>，考试范围及难易程度合理，适用于选拔技术技能人才。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（2）教学实施建议，本次给定的2024年考核项目是中等职业学校林业类专业教学内容的一部分，考核项目每年有一定变化；建议中等职业学校依据各专业教学标准，合理匹配理论与实践教学，全面提升学生专业能力及综合素养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4.技能考试过程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林业类专业技能考试采取实操方式进行，时间为30分钟；依据不同技能考核项目综合考察学生识别能力、操作能力、理论联系实际能力以及安全文明作业情况。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5.评价赋分形式</w:t>
      </w:r>
    </w:p>
    <w:p>
      <w:pPr>
        <w:ind w:firstLine="480"/>
        <w:rPr>
          <w:szCs w:val="32"/>
        </w:rPr>
      </w:pPr>
      <w:r>
        <w:rPr>
          <w:rFonts w:hint="eastAsia"/>
          <w:szCs w:val="32"/>
        </w:rPr>
        <w:t>林业类专业技能考核为过程性评价，同时注重工作质量，权重合理。</w:t>
      </w:r>
    </w:p>
    <w:p>
      <w:pPr>
        <w:ind w:firstLine="0" w:firstLineChars="0"/>
        <w:rPr>
          <w:rFonts w:ascii="Times New Roman" w:hAnsi="Times New Roman" w:eastAsia="黑体" w:cs="Times New Roman"/>
          <w:b/>
          <w:bCs/>
        </w:rPr>
      </w:pPr>
    </w:p>
    <w:p>
      <w:pPr>
        <w:ind w:firstLine="0" w:firstLineChars="0"/>
        <w:rPr>
          <w:rFonts w:ascii="Times New Roman" w:hAnsi="Times New Roman" w:eastAsia="黑体" w:cs="Times New Roman"/>
          <w:b/>
          <w:bCs/>
        </w:rPr>
      </w:pPr>
    </w:p>
    <w:p>
      <w:pPr>
        <w:ind w:firstLine="480"/>
        <w:rPr>
          <w:rFonts w:ascii="黑体" w:hAnsi="黑体" w:eastAsia="黑体" w:cs="黑体"/>
          <w:szCs w:val="32"/>
        </w:rPr>
      </w:pPr>
      <w:bookmarkStart w:id="0" w:name="_GoBack"/>
      <w:bookmarkEnd w:id="0"/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80"/>
      </w:pPr>
      <w:r>
        <w:separator/>
      </w:r>
    </w:p>
  </w:endnote>
  <w:endnote w:type="continuationSeparator" w:id="1">
    <w:p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书宋简体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80"/>
      </w:pPr>
      <w:r>
        <w:separator/>
      </w:r>
    </w:p>
  </w:footnote>
  <w:footnote w:type="continuationSeparator" w:id="1">
    <w:p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ZmFjOWUzZWFlZGNjZDlhZjdjMjlmMmY5YWQ0ODc0M2YifQ=="/>
  </w:docVars>
  <w:rsids>
    <w:rsidRoot w:val="3C287E0E"/>
    <w:rsid w:val="00212A14"/>
    <w:rsid w:val="0024143F"/>
    <w:rsid w:val="002820FB"/>
    <w:rsid w:val="00614F76"/>
    <w:rsid w:val="0068324B"/>
    <w:rsid w:val="00700BC6"/>
    <w:rsid w:val="008A4598"/>
    <w:rsid w:val="00940A95"/>
    <w:rsid w:val="009654CE"/>
    <w:rsid w:val="009746FE"/>
    <w:rsid w:val="00A91D9B"/>
    <w:rsid w:val="00AC086C"/>
    <w:rsid w:val="00AF4208"/>
    <w:rsid w:val="00D7638F"/>
    <w:rsid w:val="00E23F1E"/>
    <w:rsid w:val="00FD308B"/>
    <w:rsid w:val="00FD6B3A"/>
    <w:rsid w:val="083A5538"/>
    <w:rsid w:val="09207FBB"/>
    <w:rsid w:val="0B576421"/>
    <w:rsid w:val="14706BA3"/>
    <w:rsid w:val="1FF506DA"/>
    <w:rsid w:val="2FCA605E"/>
    <w:rsid w:val="36817AF9"/>
    <w:rsid w:val="3C287E0E"/>
    <w:rsid w:val="3F073ADC"/>
    <w:rsid w:val="404A3387"/>
    <w:rsid w:val="4F78736E"/>
    <w:rsid w:val="5DB30645"/>
    <w:rsid w:val="7C13614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562" w:firstLineChars="20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00" w:after="300" w:line="576" w:lineRule="auto"/>
      <w:jc w:val="center"/>
      <w:outlineLvl w:val="0"/>
    </w:pPr>
    <w:rPr>
      <w:rFonts w:eastAsia="黑体"/>
      <w:b/>
      <w:kern w:val="44"/>
      <w:sz w:val="28"/>
    </w:rPr>
  </w:style>
  <w:style w:type="paragraph" w:styleId="3">
    <w:name w:val="heading 2"/>
    <w:basedOn w:val="1"/>
    <w:next w:val="1"/>
    <w:unhideWhenUsed/>
    <w:qFormat/>
    <w:uiPriority w:val="0"/>
    <w:pPr>
      <w:spacing w:before="120" w:after="120" w:line="360" w:lineRule="auto"/>
      <w:jc w:val="left"/>
      <w:outlineLvl w:val="1"/>
    </w:pPr>
    <w:rPr>
      <w:rFonts w:hint="eastAsia" w:ascii="宋体" w:hAnsi="宋体" w:eastAsia="宋体" w:cs="Times New Roman"/>
      <w:b/>
      <w:bCs/>
      <w:kern w:val="0"/>
      <w:szCs w:val="36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List Paragraph"/>
    <w:basedOn w:val="1"/>
    <w:qFormat/>
    <w:uiPriority w:val="99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745</Words>
  <Characters>4251</Characters>
  <Lines>35</Lines>
  <Paragraphs>9</Paragraphs>
  <TotalTime>39</TotalTime>
  <ScaleCrop>false</ScaleCrop>
  <LinksUpToDate>false</LinksUpToDate>
  <CharactersWithSpaces>4987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2024-01-17T11:42:00Z</dcterms:created>
  <dc:creator>Lynn</dc:creator>
  <cp:lastModifiedBy>Echo</cp:lastModifiedBy>
  <dcterms:modified xsi:type="dcterms:W3CDTF">2024-03-05T01:04:28Z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CB3884D6B7784BF6B459A7D588A79314_13</vt:lpwstr>
  </property>
</Properties>
</file>